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ascii="Times New Roman"/>
          <w:sz w:val="20"/>
        </w:rPr>
      </w:pPr>
      <w:bookmarkStart w:id="21" w:name="_GoBack"/>
      <w:bookmarkEnd w:id="21"/>
    </w:p>
    <w:p>
      <w:pPr>
        <w:pStyle w:val="5"/>
        <w:ind w:left="0"/>
        <w:rPr>
          <w:rFonts w:ascii="Times New Roman"/>
          <w:sz w:val="20"/>
        </w:rPr>
      </w:pPr>
    </w:p>
    <w:p>
      <w:pPr>
        <w:pStyle w:val="5"/>
        <w:spacing w:before="1"/>
        <w:ind w:left="0"/>
        <w:rPr>
          <w:sz w:val="64"/>
        </w:rPr>
      </w:pPr>
    </w:p>
    <w:p>
      <w:pPr>
        <w:autoSpaceDE/>
        <w:autoSpaceDN/>
        <w:spacing w:line="360" w:lineRule="auto"/>
        <w:ind w:firstLine="2160" w:firstLineChars="300"/>
        <w:rPr>
          <w:rFonts w:hint="eastAsia" w:ascii="黑体" w:hAnsi="黑体" w:eastAsia="黑体" w:cs="黑体"/>
          <w:sz w:val="72"/>
          <w:szCs w:val="72"/>
          <w:lang w:val="en-US" w:bidi="ar-SA"/>
        </w:rPr>
      </w:pPr>
    </w:p>
    <w:p>
      <w:pPr>
        <w:autoSpaceDE/>
        <w:autoSpaceDN/>
        <w:spacing w:line="360" w:lineRule="auto"/>
        <w:ind w:firstLine="2160" w:firstLineChars="300"/>
        <w:rPr>
          <w:sz w:val="58"/>
        </w:rPr>
      </w:pPr>
      <w:r>
        <w:rPr>
          <w:rFonts w:hint="eastAsia" w:ascii="黑体" w:hAnsi="黑体" w:eastAsia="黑体" w:cs="黑体"/>
          <w:sz w:val="72"/>
          <w:szCs w:val="72"/>
          <w:lang w:val="en-US" w:bidi="ar-SA"/>
        </w:rPr>
        <w:t>社会责任报告</w:t>
      </w:r>
    </w:p>
    <w:p>
      <w:pPr>
        <w:pStyle w:val="5"/>
        <w:tabs>
          <w:tab w:val="left" w:pos="2423"/>
        </w:tabs>
        <w:ind w:left="0"/>
        <w:rPr>
          <w:rFonts w:hint="eastAsia" w:eastAsia="宋体"/>
          <w:sz w:val="58"/>
          <w:lang w:eastAsia="zh-CN"/>
        </w:rPr>
      </w:pPr>
    </w:p>
    <w:p>
      <w:pPr>
        <w:pStyle w:val="5"/>
        <w:tabs>
          <w:tab w:val="left" w:pos="2423"/>
        </w:tabs>
        <w:ind w:left="0"/>
        <w:rPr>
          <w:rFonts w:hint="eastAsia" w:eastAsia="宋体"/>
          <w:sz w:val="58"/>
          <w:lang w:eastAsia="zh-CN"/>
        </w:rPr>
      </w:pPr>
    </w:p>
    <w:p>
      <w:pPr>
        <w:pStyle w:val="5"/>
        <w:tabs>
          <w:tab w:val="left" w:pos="2423"/>
        </w:tabs>
        <w:ind w:left="0"/>
        <w:rPr>
          <w:rFonts w:hint="eastAsia" w:eastAsia="宋体"/>
          <w:sz w:val="58"/>
          <w:lang w:eastAsia="zh-CN"/>
        </w:rPr>
      </w:pPr>
    </w:p>
    <w:p>
      <w:pPr>
        <w:pStyle w:val="5"/>
        <w:tabs>
          <w:tab w:val="left" w:pos="2423"/>
        </w:tabs>
        <w:ind w:left="0"/>
        <w:rPr>
          <w:rFonts w:hint="eastAsia" w:eastAsia="宋体"/>
          <w:sz w:val="58"/>
          <w:lang w:eastAsia="zh-CN"/>
        </w:rPr>
      </w:pPr>
    </w:p>
    <w:p>
      <w:pPr>
        <w:pStyle w:val="5"/>
        <w:tabs>
          <w:tab w:val="left" w:pos="2423"/>
        </w:tabs>
        <w:ind w:left="0"/>
        <w:rPr>
          <w:rFonts w:hint="eastAsia" w:eastAsia="宋体"/>
          <w:sz w:val="58"/>
          <w:lang w:eastAsia="zh-CN"/>
        </w:rPr>
      </w:pPr>
    </w:p>
    <w:p>
      <w:pPr>
        <w:pStyle w:val="5"/>
        <w:tabs>
          <w:tab w:val="left" w:pos="2423"/>
        </w:tabs>
        <w:ind w:left="0"/>
        <w:rPr>
          <w:rFonts w:hint="eastAsia" w:eastAsia="宋体"/>
          <w:sz w:val="58"/>
          <w:lang w:eastAsia="zh-CN"/>
        </w:rPr>
      </w:pPr>
    </w:p>
    <w:p>
      <w:pPr>
        <w:spacing w:before="28"/>
        <w:ind w:right="239"/>
        <w:jc w:val="both"/>
        <w:rPr>
          <w:sz w:val="52"/>
        </w:rPr>
      </w:pPr>
    </w:p>
    <w:p>
      <w:pPr>
        <w:autoSpaceDE/>
        <w:autoSpaceDN/>
        <w:spacing w:line="360" w:lineRule="auto"/>
        <w:ind w:firstLine="1446" w:firstLineChars="300"/>
        <w:jc w:val="both"/>
        <w:rPr>
          <w:rFonts w:hint="eastAsia"/>
          <w:b/>
          <w:sz w:val="48"/>
          <w:szCs w:val="48"/>
          <w:lang w:eastAsia="zh-CN"/>
        </w:rPr>
      </w:pPr>
    </w:p>
    <w:p>
      <w:pPr>
        <w:autoSpaceDE/>
        <w:autoSpaceDN/>
        <w:spacing w:line="360" w:lineRule="auto"/>
        <w:ind w:firstLine="1446" w:firstLineChars="300"/>
        <w:jc w:val="both"/>
        <w:rPr>
          <w:rFonts w:hint="eastAsia" w:eastAsia="宋体"/>
          <w:sz w:val="44"/>
          <w:szCs w:val="44"/>
          <w:lang w:eastAsia="zh-CN"/>
        </w:rPr>
      </w:pPr>
      <w:r>
        <w:rPr>
          <w:rFonts w:hint="eastAsia"/>
          <w:b/>
          <w:sz w:val="48"/>
          <w:szCs w:val="48"/>
          <w:lang w:eastAsia="zh-CN"/>
        </w:rPr>
        <w:t>温州市瓯海大鸿运箱包有限公司</w:t>
      </w:r>
    </w:p>
    <w:p>
      <w:pPr>
        <w:autoSpaceDE/>
        <w:autoSpaceDN/>
        <w:spacing w:line="360" w:lineRule="auto"/>
        <w:jc w:val="center"/>
        <w:rPr>
          <w:rFonts w:hint="eastAsia" w:ascii="楷体" w:hAnsi="楷体" w:eastAsia="楷体"/>
          <w:sz w:val="48"/>
          <w:szCs w:val="44"/>
        </w:rPr>
      </w:pPr>
    </w:p>
    <w:p>
      <w:pPr>
        <w:autoSpaceDE/>
        <w:autoSpaceDN/>
        <w:spacing w:line="360" w:lineRule="auto"/>
        <w:jc w:val="center"/>
        <w:rPr>
          <w:rFonts w:ascii="楷体" w:hAnsi="楷体" w:eastAsia="楷体"/>
          <w:sz w:val="48"/>
          <w:szCs w:val="44"/>
        </w:rPr>
      </w:pPr>
      <w:r>
        <w:rPr>
          <w:rFonts w:hint="eastAsia" w:ascii="楷体" w:hAnsi="楷体" w:eastAsia="楷体"/>
          <w:sz w:val="48"/>
          <w:szCs w:val="44"/>
        </w:rPr>
        <w:t>二0二</w:t>
      </w:r>
      <w:r>
        <w:rPr>
          <w:rFonts w:hint="eastAsia" w:ascii="楷体" w:hAnsi="楷体" w:eastAsia="楷体"/>
          <w:sz w:val="48"/>
          <w:szCs w:val="44"/>
          <w:lang w:val="en-US" w:eastAsia="zh-CN"/>
        </w:rPr>
        <w:t>二</w:t>
      </w:r>
      <w:r>
        <w:rPr>
          <w:rFonts w:hint="eastAsia" w:ascii="楷体" w:hAnsi="楷体" w:eastAsia="楷体"/>
          <w:sz w:val="48"/>
          <w:szCs w:val="44"/>
        </w:rPr>
        <w:t>年</w:t>
      </w:r>
      <w:r>
        <w:rPr>
          <w:rFonts w:hint="eastAsia" w:ascii="楷体" w:hAnsi="楷体" w:eastAsia="楷体"/>
          <w:sz w:val="48"/>
          <w:szCs w:val="44"/>
          <w:lang w:val="en-US" w:eastAsia="zh-CN"/>
        </w:rPr>
        <w:t>十一</w:t>
      </w:r>
      <w:r>
        <w:rPr>
          <w:rFonts w:hint="eastAsia" w:ascii="楷体" w:hAnsi="楷体" w:eastAsia="楷体"/>
          <w:sz w:val="48"/>
          <w:szCs w:val="44"/>
        </w:rPr>
        <w:t>月</w:t>
      </w:r>
    </w:p>
    <w:p>
      <w:pPr>
        <w:spacing w:before="54"/>
        <w:ind w:right="242"/>
        <w:jc w:val="center"/>
        <w:rPr>
          <w:sz w:val="52"/>
        </w:rPr>
      </w:pPr>
    </w:p>
    <w:p>
      <w:pPr>
        <w:spacing w:before="54"/>
        <w:ind w:right="242"/>
        <w:rPr>
          <w:sz w:val="32"/>
        </w:rPr>
      </w:pPr>
    </w:p>
    <w:p>
      <w:pPr>
        <w:spacing w:before="54"/>
        <w:ind w:right="242"/>
        <w:jc w:val="center"/>
        <w:rPr>
          <w:sz w:val="32"/>
        </w:rPr>
      </w:pPr>
      <w:r>
        <w:rPr>
          <w:sz w:val="32"/>
        </w:rPr>
        <w:t>报告编写说明</w:t>
      </w:r>
    </w:p>
    <w:p>
      <w:pPr>
        <w:pStyle w:val="5"/>
        <w:ind w:left="0"/>
        <w:rPr>
          <w:sz w:val="20"/>
        </w:rPr>
      </w:pPr>
    </w:p>
    <w:p>
      <w:pPr>
        <w:pStyle w:val="5"/>
        <w:spacing w:before="6"/>
        <w:ind w:left="0"/>
        <w:rPr>
          <w:sz w:val="26"/>
        </w:rPr>
      </w:pPr>
    </w:p>
    <w:p>
      <w:pPr>
        <w:pStyle w:val="16"/>
        <w:numPr>
          <w:ilvl w:val="0"/>
          <w:numId w:val="1"/>
        </w:numPr>
        <w:tabs>
          <w:tab w:val="left" w:pos="480"/>
        </w:tabs>
        <w:spacing w:before="66"/>
        <w:jc w:val="both"/>
        <w:rPr>
          <w:sz w:val="24"/>
        </w:rPr>
      </w:pPr>
      <w:r>
        <w:rPr>
          <w:sz w:val="24"/>
        </w:rPr>
        <w:t>报告简介</w:t>
      </w:r>
    </w:p>
    <w:p>
      <w:pPr>
        <w:pStyle w:val="5"/>
        <w:spacing w:before="189" w:line="360" w:lineRule="auto"/>
        <w:ind w:left="121" w:leftChars="55" w:firstLine="480" w:firstLineChars="200"/>
      </w:pPr>
      <w:r>
        <w:t>《</w:t>
      </w:r>
      <w:r>
        <w:rPr>
          <w:rFonts w:hint="eastAsia"/>
          <w:lang w:eastAsia="zh-CN"/>
        </w:rPr>
        <w:t>温州市瓯海大鸿运箱包有限公司2021</w:t>
      </w:r>
      <w:r>
        <w:t>年企业社会责任报告》是</w:t>
      </w:r>
      <w:r>
        <w:rPr>
          <w:rFonts w:hint="eastAsia"/>
          <w:lang w:eastAsia="zh-CN"/>
        </w:rPr>
        <w:t>温州市瓯海大鸿运箱包有限公司</w:t>
      </w:r>
      <w:r>
        <w:rPr>
          <w:spacing w:val="-3"/>
        </w:rPr>
        <w:t>发布的第一份企业社会责任报告。报告回顾了</w:t>
      </w:r>
      <w:r>
        <w:rPr>
          <w:rFonts w:hint="eastAsia"/>
          <w:spacing w:val="-3"/>
          <w:lang w:eastAsia="zh-CN"/>
        </w:rPr>
        <w:t>温州市瓯海大鸿运箱包有限公司</w:t>
      </w:r>
      <w:r>
        <w:rPr>
          <w:rFonts w:hint="eastAsia"/>
          <w:lang w:eastAsia="zh-CN"/>
        </w:rPr>
        <w:t>2021</w:t>
      </w:r>
      <w:r>
        <w:rPr>
          <w:spacing w:val="-11"/>
        </w:rPr>
        <w:t>年所面临的机遇</w:t>
      </w:r>
      <w:r>
        <w:t>与挑战，披露了相关的社会责任实践和绩效。</w:t>
      </w:r>
    </w:p>
    <w:p>
      <w:pPr>
        <w:pStyle w:val="16"/>
        <w:numPr>
          <w:ilvl w:val="0"/>
          <w:numId w:val="1"/>
        </w:numPr>
        <w:tabs>
          <w:tab w:val="left" w:pos="480"/>
        </w:tabs>
        <w:spacing w:before="0" w:line="305" w:lineRule="exact"/>
        <w:rPr>
          <w:sz w:val="24"/>
        </w:rPr>
      </w:pPr>
      <w:r>
        <w:rPr>
          <w:sz w:val="24"/>
        </w:rPr>
        <w:t>时间范围</w:t>
      </w:r>
    </w:p>
    <w:p>
      <w:pPr>
        <w:pStyle w:val="5"/>
        <w:spacing w:before="187"/>
        <w:ind w:left="600"/>
      </w:pPr>
      <w:r>
        <w:t xml:space="preserve">报告中的 </w:t>
      </w:r>
      <w:r>
        <w:rPr>
          <w:rFonts w:hint="eastAsia"/>
          <w:lang w:eastAsia="zh-CN"/>
        </w:rPr>
        <w:t>2021</w:t>
      </w:r>
      <w:r>
        <w:t xml:space="preserve">年均指 </w:t>
      </w:r>
      <w:r>
        <w:rPr>
          <w:rFonts w:hint="eastAsia"/>
          <w:lang w:eastAsia="zh-CN"/>
        </w:rPr>
        <w:t>2021</w:t>
      </w:r>
      <w:r>
        <w:t xml:space="preserve"> </w:t>
      </w:r>
      <w:r>
        <w:rPr>
          <w:rFonts w:hint="eastAsia"/>
        </w:rPr>
        <w:t>全</w:t>
      </w:r>
      <w:r>
        <w:t>年。</w:t>
      </w:r>
    </w:p>
    <w:p>
      <w:pPr>
        <w:pStyle w:val="16"/>
        <w:numPr>
          <w:ilvl w:val="0"/>
          <w:numId w:val="1"/>
        </w:numPr>
        <w:tabs>
          <w:tab w:val="left" w:pos="480"/>
        </w:tabs>
        <w:spacing w:before="189"/>
        <w:jc w:val="both"/>
        <w:rPr>
          <w:sz w:val="24"/>
        </w:rPr>
      </w:pPr>
      <w:r>
        <w:rPr>
          <w:sz w:val="24"/>
        </w:rPr>
        <w:t>发布周期</w:t>
      </w:r>
    </w:p>
    <w:p>
      <w:pPr>
        <w:pStyle w:val="5"/>
        <w:spacing w:before="190"/>
        <w:ind w:left="600"/>
      </w:pPr>
      <w:r>
        <w:t>本报告为年度报告。</w:t>
      </w:r>
    </w:p>
    <w:p>
      <w:pPr>
        <w:pStyle w:val="16"/>
        <w:numPr>
          <w:ilvl w:val="0"/>
          <w:numId w:val="1"/>
        </w:numPr>
        <w:tabs>
          <w:tab w:val="left" w:pos="480"/>
        </w:tabs>
        <w:spacing w:before="187"/>
        <w:jc w:val="both"/>
        <w:rPr>
          <w:sz w:val="24"/>
        </w:rPr>
      </w:pPr>
      <w:r>
        <w:rPr>
          <w:sz w:val="24"/>
        </w:rPr>
        <w:t>报告范围</w:t>
      </w:r>
    </w:p>
    <w:p>
      <w:pPr>
        <w:pStyle w:val="5"/>
        <w:spacing w:before="189"/>
        <w:ind w:left="600"/>
      </w:pPr>
      <w:r>
        <w:t>与</w:t>
      </w:r>
      <w:r>
        <w:rPr>
          <w:rFonts w:hint="eastAsia"/>
          <w:lang w:eastAsia="zh-CN"/>
        </w:rPr>
        <w:t>温州市瓯海大鸿运箱包有限公司</w:t>
      </w:r>
      <w:r>
        <w:t>的业务范围一致。</w:t>
      </w:r>
    </w:p>
    <w:p>
      <w:pPr>
        <w:pStyle w:val="16"/>
        <w:numPr>
          <w:ilvl w:val="0"/>
          <w:numId w:val="1"/>
        </w:numPr>
        <w:tabs>
          <w:tab w:val="left" w:pos="480"/>
        </w:tabs>
        <w:spacing w:before="189"/>
        <w:jc w:val="both"/>
        <w:rPr>
          <w:sz w:val="24"/>
        </w:rPr>
      </w:pPr>
      <w:r>
        <w:rPr>
          <w:sz w:val="24"/>
        </w:rPr>
        <w:t>数据来源</w:t>
      </w:r>
    </w:p>
    <w:p>
      <w:pPr>
        <w:pStyle w:val="5"/>
        <w:spacing w:before="187" w:line="388" w:lineRule="auto"/>
        <w:ind w:right="360" w:firstLine="480"/>
        <w:jc w:val="both"/>
      </w:pPr>
      <w:r>
        <w:rPr>
          <w:spacing w:val="-5"/>
        </w:rPr>
        <w:t>报告使用数据来自</w:t>
      </w:r>
      <w:r>
        <w:rPr>
          <w:rFonts w:hint="eastAsia"/>
          <w:spacing w:val="-5"/>
        </w:rPr>
        <w:t>公司</w:t>
      </w:r>
      <w:r>
        <w:rPr>
          <w:rFonts w:hint="eastAsia"/>
          <w:lang w:eastAsia="zh-CN"/>
        </w:rPr>
        <w:t>2021</w:t>
      </w:r>
      <w:r>
        <w:rPr>
          <w:spacing w:val="-8"/>
        </w:rPr>
        <w:t>年报，以及公司正式文件和统计报告。</w:t>
      </w:r>
      <w:r>
        <w:rPr>
          <w:spacing w:val="-14"/>
        </w:rPr>
        <w:t>部门数据由于数据统计和口径的原因，有不完善的地方。我们将在日后不断完善</w:t>
      </w:r>
      <w:r>
        <w:t>数据指标统计系统，以保证将来提供更加全面的信息。</w:t>
      </w:r>
    </w:p>
    <w:p>
      <w:pPr>
        <w:pStyle w:val="16"/>
        <w:numPr>
          <w:ilvl w:val="0"/>
          <w:numId w:val="1"/>
        </w:numPr>
        <w:tabs>
          <w:tab w:val="left" w:pos="480"/>
        </w:tabs>
        <w:spacing w:before="0" w:line="301" w:lineRule="exact"/>
        <w:jc w:val="both"/>
        <w:rPr>
          <w:sz w:val="24"/>
        </w:rPr>
      </w:pPr>
      <w:r>
        <w:rPr>
          <w:sz w:val="24"/>
        </w:rPr>
        <w:t>指代说明</w:t>
      </w:r>
    </w:p>
    <w:p>
      <w:pPr>
        <w:pStyle w:val="5"/>
        <w:spacing w:before="189" w:line="388" w:lineRule="auto"/>
        <w:ind w:right="358" w:firstLine="480"/>
      </w:pPr>
      <w:r>
        <w:rPr>
          <w:spacing w:val="-26"/>
        </w:rPr>
        <w:t>为便于表述，报告中“公司”、“我们”均指代</w:t>
      </w:r>
      <w:r>
        <w:rPr>
          <w:spacing w:val="-11"/>
        </w:rPr>
        <w:t>“</w:t>
      </w:r>
      <w:r>
        <w:rPr>
          <w:rFonts w:hint="eastAsia"/>
          <w:spacing w:val="-11"/>
          <w:lang w:eastAsia="zh-CN"/>
        </w:rPr>
        <w:t>温州市瓯海大鸿运箱包有限公司</w:t>
      </w:r>
      <w:r>
        <w:rPr>
          <w:spacing w:val="-11"/>
        </w:rPr>
        <w:t>”。</w:t>
      </w:r>
    </w:p>
    <w:p>
      <w:pPr>
        <w:spacing w:line="388" w:lineRule="auto"/>
        <w:sectPr>
          <w:headerReference r:id="rId3" w:type="default"/>
          <w:footerReference r:id="rId4" w:type="default"/>
          <w:pgSz w:w="11910" w:h="16840"/>
          <w:pgMar w:top="1420" w:right="1440" w:bottom="1380" w:left="1680" w:header="877" w:footer="1197" w:gutter="0"/>
          <w:cols w:space="720" w:num="1"/>
        </w:sectPr>
      </w:pPr>
    </w:p>
    <w:p>
      <w:pPr>
        <w:pStyle w:val="5"/>
        <w:spacing w:before="1"/>
        <w:ind w:left="0"/>
        <w:rPr>
          <w:sz w:val="19"/>
        </w:rPr>
      </w:pPr>
    </w:p>
    <w:p>
      <w:pPr>
        <w:pStyle w:val="4"/>
        <w:tabs>
          <w:tab w:val="left" w:pos="724"/>
        </w:tabs>
      </w:pPr>
    </w:p>
    <w:sdt>
      <w:sdtPr>
        <w:rPr>
          <w:rFonts w:ascii="宋体" w:hAnsi="宋体" w:eastAsia="宋体" w:cs="宋体"/>
          <w:color w:val="auto"/>
          <w:sz w:val="22"/>
          <w:szCs w:val="22"/>
          <w:lang w:val="zh-CN" w:bidi="zh-CN"/>
        </w:rPr>
        <w:id w:val="1619027494"/>
        <w:docPartObj>
          <w:docPartGallery w:val="Table of Contents"/>
          <w:docPartUnique/>
        </w:docPartObj>
      </w:sdtPr>
      <w:sdtEndPr>
        <w:rPr>
          <w:rFonts w:ascii="宋体" w:hAnsi="宋体" w:eastAsia="宋体" w:cs="宋体"/>
          <w:b/>
          <w:bCs/>
          <w:color w:val="auto"/>
          <w:sz w:val="22"/>
          <w:szCs w:val="22"/>
          <w:lang w:val="zh-CN" w:bidi="zh-CN"/>
        </w:rPr>
      </w:sdtEndPr>
      <w:sdtContent>
        <w:p>
          <w:pPr>
            <w:pStyle w:val="21"/>
            <w:jc w:val="center"/>
          </w:pPr>
          <w:r>
            <w:rPr>
              <w:lang w:val="zh-CN"/>
            </w:rPr>
            <w:t>目录</w:t>
          </w:r>
        </w:p>
        <w:p>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TOC \o "1-3" \h \z \u </w:instrText>
          </w:r>
          <w:r>
            <w:fldChar w:fldCharType="separate"/>
          </w:r>
          <w:r>
            <w:fldChar w:fldCharType="begin"/>
          </w:r>
          <w:r>
            <w:instrText xml:space="preserve"> HYPERLINK \l "_Toc24531704" </w:instrText>
          </w:r>
          <w:r>
            <w:fldChar w:fldCharType="separate"/>
          </w:r>
          <w:r>
            <w:rPr>
              <w:rStyle w:val="14"/>
            </w:rPr>
            <w:t>公司概况</w:t>
          </w:r>
          <w:r>
            <w:tab/>
          </w:r>
          <w:r>
            <w:fldChar w:fldCharType="begin"/>
          </w:r>
          <w:r>
            <w:instrText xml:space="preserve"> PAGEREF _Toc24531704 \h </w:instrText>
          </w:r>
          <w:r>
            <w:fldChar w:fldCharType="separate"/>
          </w:r>
          <w:r>
            <w:t>4</w:t>
          </w:r>
          <w:r>
            <w:fldChar w:fldCharType="end"/>
          </w:r>
          <w:r>
            <w:fldChar w:fldCharType="end"/>
          </w:r>
        </w:p>
        <w:p>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"_Toc24531705" </w:instrText>
          </w:r>
          <w:r>
            <w:fldChar w:fldCharType="separate"/>
          </w:r>
          <w:r>
            <w:rPr>
              <w:rStyle w:val="14"/>
            </w:rPr>
            <w:t>一、责任聚焦</w:t>
          </w:r>
          <w:r>
            <w:tab/>
          </w:r>
          <w:r>
            <w:fldChar w:fldCharType="begin"/>
          </w:r>
          <w:r>
            <w:instrText xml:space="preserve"> PAGEREF _Toc24531705 \h </w:instrText>
          </w:r>
          <w:r>
            <w:fldChar w:fldCharType="separate"/>
          </w:r>
          <w:r>
            <w:t>4</w:t>
          </w:r>
          <w:r>
            <w:fldChar w:fldCharType="end"/>
          </w:r>
          <w:r>
            <w:fldChar w:fldCharType="end"/>
          </w:r>
        </w:p>
        <w:p>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"_Toc24531706" </w:instrText>
          </w:r>
          <w:r>
            <w:fldChar w:fldCharType="separate"/>
          </w:r>
          <w:r>
            <w:rPr>
              <w:rStyle w:val="14"/>
            </w:rPr>
            <w:t>二、战略与管理</w:t>
          </w:r>
          <w:r>
            <w:tab/>
          </w:r>
          <w:r>
            <w:fldChar w:fldCharType="begin"/>
          </w:r>
          <w:r>
            <w:instrText xml:space="preserve"> PAGEREF _Toc24531706 \h </w:instrText>
          </w:r>
          <w:r>
            <w:fldChar w:fldCharType="separate"/>
          </w:r>
          <w:r>
            <w:t>7</w:t>
          </w:r>
          <w:r>
            <w:fldChar w:fldCharType="end"/>
          </w:r>
          <w:r>
            <w:fldChar w:fldCharType="end"/>
          </w:r>
        </w:p>
        <w:p>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"_Toc24531707" </w:instrText>
          </w:r>
          <w:r>
            <w:fldChar w:fldCharType="separate"/>
          </w:r>
          <w:r>
            <w:rPr>
              <w:rStyle w:val="14"/>
            </w:rPr>
            <w:t>三、守法合规</w:t>
          </w:r>
          <w:r>
            <w:tab/>
          </w:r>
          <w:r>
            <w:fldChar w:fldCharType="begin"/>
          </w:r>
          <w:r>
            <w:instrText xml:space="preserve"> PAGEREF _Toc24531707 \h </w:instrText>
          </w:r>
          <w:r>
            <w:fldChar w:fldCharType="separate"/>
          </w:r>
          <w:r>
            <w:t>18</w:t>
          </w:r>
          <w:r>
            <w:fldChar w:fldCharType="end"/>
          </w:r>
          <w:r>
            <w:fldChar w:fldCharType="end"/>
          </w:r>
        </w:p>
        <w:p>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"_Toc24531708" </w:instrText>
          </w:r>
          <w:r>
            <w:fldChar w:fldCharType="separate"/>
          </w:r>
          <w:r>
            <w:rPr>
              <w:rStyle w:val="14"/>
            </w:rPr>
            <w:t>四、回报股东</w:t>
          </w:r>
          <w:r>
            <w:tab/>
          </w:r>
          <w:r>
            <w:fldChar w:fldCharType="begin"/>
          </w:r>
          <w:r>
            <w:instrText xml:space="preserve"> PAGEREF _Toc24531708 \h </w:instrText>
          </w:r>
          <w:r>
            <w:fldChar w:fldCharType="separate"/>
          </w:r>
          <w:r>
            <w:t>19</w:t>
          </w:r>
          <w:r>
            <w:fldChar w:fldCharType="end"/>
          </w:r>
          <w:r>
            <w:fldChar w:fldCharType="end"/>
          </w:r>
        </w:p>
        <w:p>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"_Toc24531709" </w:instrText>
          </w:r>
          <w:r>
            <w:fldChar w:fldCharType="separate"/>
          </w:r>
          <w:r>
            <w:rPr>
              <w:rStyle w:val="14"/>
            </w:rPr>
            <w:t>五、服务客户</w:t>
          </w:r>
          <w:r>
            <w:tab/>
          </w:r>
          <w:r>
            <w:fldChar w:fldCharType="begin"/>
          </w:r>
          <w:r>
            <w:instrText xml:space="preserve"> PAGEREF _Toc24531709 \h </w:instrText>
          </w:r>
          <w:r>
            <w:fldChar w:fldCharType="separate"/>
          </w:r>
          <w:r>
            <w:t>19</w:t>
          </w:r>
          <w:r>
            <w:fldChar w:fldCharType="end"/>
          </w:r>
          <w:r>
            <w:fldChar w:fldCharType="end"/>
          </w:r>
        </w:p>
        <w:p>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"_Toc24531710" </w:instrText>
          </w:r>
          <w:r>
            <w:fldChar w:fldCharType="separate"/>
          </w:r>
          <w:r>
            <w:rPr>
              <w:rStyle w:val="14"/>
            </w:rPr>
            <w:t>六、造福员工</w:t>
          </w:r>
          <w:r>
            <w:tab/>
          </w:r>
          <w:r>
            <w:fldChar w:fldCharType="begin"/>
          </w:r>
          <w:r>
            <w:instrText xml:space="preserve"> PAGEREF _Toc24531710 \h </w:instrText>
          </w:r>
          <w:r>
            <w:fldChar w:fldCharType="separate"/>
          </w:r>
          <w:r>
            <w:t>20</w:t>
          </w:r>
          <w:r>
            <w:fldChar w:fldCharType="end"/>
          </w:r>
          <w:r>
            <w:fldChar w:fldCharType="end"/>
          </w:r>
        </w:p>
        <w:p>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"_Toc24531711" </w:instrText>
          </w:r>
          <w:r>
            <w:fldChar w:fldCharType="separate"/>
          </w:r>
          <w:r>
            <w:rPr>
              <w:rStyle w:val="14"/>
            </w:rPr>
            <w:t>七、奉献社会</w:t>
          </w:r>
          <w:r>
            <w:tab/>
          </w:r>
          <w:r>
            <w:fldChar w:fldCharType="begin"/>
          </w:r>
          <w:r>
            <w:instrText xml:space="preserve"> PAGEREF _Toc24531711 \h </w:instrText>
          </w:r>
          <w:r>
            <w:fldChar w:fldCharType="separate"/>
          </w:r>
          <w:r>
            <w:t>22</w:t>
          </w:r>
          <w:r>
            <w:fldChar w:fldCharType="end"/>
          </w:r>
          <w:r>
            <w:fldChar w:fldCharType="end"/>
          </w:r>
        </w:p>
        <w:p>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"_Toc24531712" </w:instrText>
          </w:r>
          <w:r>
            <w:fldChar w:fldCharType="separate"/>
          </w:r>
          <w:r>
            <w:rPr>
              <w:rStyle w:val="14"/>
              <w:spacing w:val="-1"/>
            </w:rPr>
            <w:t>八、合作伙伴</w:t>
          </w:r>
          <w:r>
            <w:tab/>
          </w:r>
          <w:r>
            <w:fldChar w:fldCharType="begin"/>
          </w:r>
          <w:r>
            <w:instrText xml:space="preserve"> PAGEREF _Toc24531712 \h </w:instrText>
          </w:r>
          <w:r>
            <w:fldChar w:fldCharType="separate"/>
          </w:r>
          <w:r>
            <w:t>23</w:t>
          </w:r>
          <w:r>
            <w:fldChar w:fldCharType="end"/>
          </w:r>
          <w:r>
            <w:fldChar w:fldCharType="end"/>
          </w:r>
        </w:p>
        <w:p>
          <w:pPr>
            <w:pStyle w:val="10"/>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"_Toc24531713" </w:instrText>
          </w:r>
          <w:r>
            <w:fldChar w:fldCharType="separate"/>
          </w:r>
          <w:r>
            <w:rPr>
              <w:rStyle w:val="14"/>
            </w:rPr>
            <w:t>九、存在问题及改进</w:t>
          </w:r>
          <w:r>
            <w:tab/>
          </w:r>
          <w:r>
            <w:fldChar w:fldCharType="begin"/>
          </w:r>
          <w:r>
            <w:instrText xml:space="preserve"> PAGEREF _Toc24531713 \h </w:instrText>
          </w:r>
          <w:r>
            <w:fldChar w:fldCharType="separate"/>
          </w:r>
          <w:r>
            <w:t>23</w:t>
          </w:r>
          <w:r>
            <w:fldChar w:fldCharType="end"/>
          </w:r>
          <w:r>
            <w:fldChar w:fldCharType="end"/>
          </w:r>
        </w:p>
        <w:p>
          <w:r>
            <w:rPr>
              <w:b/>
              <w:bCs/>
            </w:rPr>
            <w:fldChar w:fldCharType="end"/>
          </w:r>
        </w:p>
      </w:sdtContent>
    </w:sdt>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Pr>
        <w:pStyle w:val="3"/>
        <w:spacing w:before="143"/>
        <w:ind w:left="0" w:right="235"/>
        <w:jc w:val="center"/>
      </w:pPr>
    </w:p>
    <w:p/>
    <w:p/>
    <w:p/>
    <w:p>
      <w:pPr>
        <w:pStyle w:val="3"/>
        <w:spacing w:before="143"/>
        <w:ind w:left="0" w:right="235"/>
        <w:jc w:val="both"/>
      </w:pPr>
    </w:p>
    <w:p>
      <w:pPr>
        <w:pStyle w:val="3"/>
        <w:spacing w:before="143"/>
        <w:ind w:left="0" w:right="235"/>
        <w:jc w:val="center"/>
        <w:rPr>
          <w:b/>
          <w:bCs/>
          <w:sz w:val="36"/>
          <w:szCs w:val="36"/>
        </w:rPr>
      </w:pPr>
      <w:bookmarkStart w:id="0" w:name="_Toc24531704"/>
      <w:r>
        <w:rPr>
          <w:b/>
          <w:bCs/>
          <w:sz w:val="36"/>
          <w:szCs w:val="36"/>
        </w:rPr>
        <w:t>公司概况</w:t>
      </w:r>
      <w:bookmarkEnd w:id="0"/>
    </w:p>
    <w:p>
      <w:pPr>
        <w:pStyle w:val="5"/>
        <w:spacing w:before="6"/>
        <w:ind w:left="0"/>
        <w:rPr>
          <w:sz w:val="22"/>
        </w:rPr>
      </w:pPr>
    </w:p>
    <w:p>
      <w:pPr>
        <w:adjustRightInd w:val="0"/>
        <w:snapToGrid w:val="0"/>
        <w:spacing w:line="400" w:lineRule="exact"/>
        <w:ind w:firstLine="440" w:firstLineChars="200"/>
        <w:rPr>
          <w:rFonts w:hint="eastAsia" w:ascii="宋体" w:hAnsi="宋体" w:eastAsia="宋体" w:cs="宋体"/>
          <w:sz w:val="22"/>
          <w:szCs w:val="22"/>
          <w:highlight w:val="none"/>
          <w:lang w:val="zh-CN" w:eastAsia="zh-CN" w:bidi="zh-CN"/>
        </w:rPr>
      </w:pPr>
      <w:bookmarkStart w:id="1" w:name="一、责任聚焦"/>
      <w:bookmarkEnd w:id="1"/>
      <w:bookmarkStart w:id="2" w:name="_Toc24531705"/>
      <w:r>
        <w:rPr>
          <w:rFonts w:hint="eastAsia" w:ascii="宋体" w:hAnsi="宋体" w:eastAsia="宋体" w:cs="宋体"/>
          <w:sz w:val="22"/>
          <w:szCs w:val="22"/>
          <w:highlight w:val="none"/>
          <w:lang w:val="zh-CN" w:eastAsia="zh-CN" w:bidi="zh-CN"/>
        </w:rPr>
        <w:t>温州市瓯海大鸿运箱包有限公司正式成立於19</w:t>
      </w:r>
      <w:r>
        <w:rPr>
          <w:rFonts w:hint="eastAsia" w:ascii="宋体" w:hAnsi="宋体" w:eastAsia="宋体" w:cs="宋体"/>
          <w:sz w:val="22"/>
          <w:szCs w:val="22"/>
          <w:highlight w:val="none"/>
          <w:lang w:val="en-US" w:eastAsia="zh-CN" w:bidi="zh-CN"/>
        </w:rPr>
        <w:t>95</w:t>
      </w:r>
      <w:r>
        <w:rPr>
          <w:rFonts w:hint="eastAsia" w:ascii="宋体" w:hAnsi="宋体" w:eastAsia="宋体" w:cs="宋体"/>
          <w:sz w:val="22"/>
          <w:szCs w:val="22"/>
          <w:highlight w:val="none"/>
          <w:lang w:val="zh-CN" w:eastAsia="zh-CN" w:bidi="zh-CN"/>
        </w:rPr>
        <w:t>年，建在风景秀丽，人杰地灵，商贾云集，具有“敢为天下先”之称的浙江温州。</w:t>
      </w:r>
    </w:p>
    <w:p>
      <w:pPr>
        <w:adjustRightInd w:val="0"/>
        <w:snapToGrid w:val="0"/>
        <w:spacing w:line="400" w:lineRule="exact"/>
        <w:ind w:firstLine="440" w:firstLineChars="200"/>
        <w:rPr>
          <w:rFonts w:hint="eastAsia" w:ascii="宋体" w:hAnsi="宋体" w:eastAsia="宋体" w:cs="宋体"/>
          <w:sz w:val="22"/>
          <w:szCs w:val="22"/>
          <w:highlight w:val="none"/>
          <w:lang w:val="zh-CN" w:eastAsia="zh-CN" w:bidi="zh-CN"/>
        </w:rPr>
      </w:pPr>
      <w:r>
        <w:rPr>
          <w:rFonts w:hint="eastAsia" w:ascii="宋体" w:hAnsi="宋体" w:eastAsia="宋体" w:cs="宋体"/>
          <w:sz w:val="22"/>
          <w:szCs w:val="22"/>
          <w:highlight w:val="none"/>
          <w:lang w:val="zh-CN" w:eastAsia="zh-CN" w:bidi="zh-CN"/>
        </w:rPr>
        <w:t>温州市瓯海大鸿运箱包有限公司是温州较早专业生产箱包企业之一，主要从事专业设计、开发、制造、出口各类箱包为主的企业，现公司主要生产BLESS品牌的ABS、PC、EVA等各类拉杆箱、航空箱、公文箱、化妆箱、购物箱等，现产品远销欧美、非洲、日韩等国家，并同国际大牌超市、营销公司建立了长期的合作关系。</w:t>
      </w:r>
    </w:p>
    <w:p>
      <w:pPr>
        <w:adjustRightInd w:val="0"/>
        <w:snapToGrid w:val="0"/>
        <w:spacing w:line="400" w:lineRule="exact"/>
        <w:ind w:firstLine="440" w:firstLineChars="200"/>
        <w:rPr>
          <w:rFonts w:hint="eastAsia" w:ascii="宋体" w:hAnsi="宋体" w:eastAsia="宋体" w:cs="宋体"/>
          <w:sz w:val="22"/>
          <w:szCs w:val="22"/>
          <w:highlight w:val="none"/>
          <w:lang w:val="zh-CN" w:eastAsia="zh-CN" w:bidi="zh-CN"/>
        </w:rPr>
      </w:pPr>
      <w:r>
        <w:rPr>
          <w:rFonts w:hint="eastAsia" w:ascii="宋体" w:hAnsi="宋体" w:eastAsia="宋体" w:cs="宋体"/>
          <w:sz w:val="22"/>
          <w:szCs w:val="22"/>
          <w:highlight w:val="none"/>
          <w:lang w:val="zh-CN" w:eastAsia="zh-CN" w:bidi="zh-CN"/>
        </w:rPr>
        <w:t>现公司厂房建筑面积达</w:t>
      </w:r>
      <w:r>
        <w:rPr>
          <w:rFonts w:hint="eastAsia" w:ascii="宋体" w:hAnsi="宋体" w:eastAsia="宋体" w:cs="宋体"/>
          <w:sz w:val="22"/>
          <w:szCs w:val="22"/>
          <w:highlight w:val="none"/>
          <w:lang w:val="en-US" w:eastAsia="zh-CN" w:bidi="zh-CN"/>
        </w:rPr>
        <w:t>24</w:t>
      </w:r>
      <w:r>
        <w:rPr>
          <w:rFonts w:hint="eastAsia" w:cs="宋体"/>
          <w:sz w:val="22"/>
          <w:szCs w:val="22"/>
          <w:highlight w:val="none"/>
          <w:lang w:val="en-US" w:eastAsia="zh-CN" w:bidi="zh-CN"/>
        </w:rPr>
        <w:t>236</w:t>
      </w:r>
      <w:r>
        <w:rPr>
          <w:rFonts w:hint="eastAsia" w:ascii="宋体" w:hAnsi="宋体" w:eastAsia="宋体" w:cs="宋体"/>
          <w:sz w:val="22"/>
          <w:szCs w:val="22"/>
          <w:highlight w:val="none"/>
          <w:lang w:val="zh-CN" w:eastAsia="zh-CN" w:bidi="zh-CN"/>
        </w:rPr>
        <w:t>平方米，拥有各类员工1</w:t>
      </w:r>
      <w:r>
        <w:rPr>
          <w:rFonts w:hint="eastAsia" w:cs="宋体"/>
          <w:sz w:val="22"/>
          <w:szCs w:val="22"/>
          <w:highlight w:val="none"/>
          <w:lang w:val="en-US" w:eastAsia="zh-CN" w:bidi="zh-CN"/>
        </w:rPr>
        <w:t>20</w:t>
      </w:r>
      <w:r>
        <w:rPr>
          <w:rFonts w:hint="eastAsia" w:ascii="宋体" w:hAnsi="宋体" w:eastAsia="宋体" w:cs="宋体"/>
          <w:sz w:val="22"/>
          <w:szCs w:val="22"/>
          <w:highlight w:val="none"/>
          <w:lang w:val="zh-CN" w:eastAsia="zh-CN" w:bidi="zh-CN"/>
        </w:rPr>
        <w:t>余人，技术人员</w:t>
      </w:r>
      <w:r>
        <w:rPr>
          <w:rFonts w:hint="eastAsia" w:ascii="宋体" w:hAnsi="宋体" w:eastAsia="宋体" w:cs="宋体"/>
          <w:sz w:val="22"/>
          <w:szCs w:val="22"/>
          <w:highlight w:val="none"/>
          <w:lang w:val="en-US" w:eastAsia="zh-CN" w:bidi="zh-CN"/>
        </w:rPr>
        <w:t>20</w:t>
      </w:r>
      <w:r>
        <w:rPr>
          <w:rFonts w:hint="eastAsia" w:ascii="宋体" w:hAnsi="宋体" w:eastAsia="宋体" w:cs="宋体"/>
          <w:sz w:val="22"/>
          <w:szCs w:val="22"/>
          <w:highlight w:val="none"/>
          <w:lang w:val="zh-CN" w:eastAsia="zh-CN" w:bidi="zh-CN"/>
        </w:rPr>
        <w:t>余人，共有5条箱包生产流水线，现代化生产设备一应俱全，年产各类箱包100万只。产品种类齐全，造型精雅，在国内箱包行业中占有重要地位。</w:t>
      </w:r>
    </w:p>
    <w:p>
      <w:pPr>
        <w:adjustRightInd w:val="0"/>
        <w:snapToGrid w:val="0"/>
        <w:spacing w:line="400" w:lineRule="exact"/>
        <w:ind w:firstLine="440" w:firstLineChars="200"/>
        <w:rPr>
          <w:rFonts w:hint="eastAsia" w:ascii="宋体" w:hAnsi="宋体" w:eastAsia="宋体" w:cs="宋体"/>
          <w:sz w:val="22"/>
          <w:szCs w:val="22"/>
          <w:highlight w:val="none"/>
          <w:lang w:val="zh-CN" w:eastAsia="zh-CN" w:bidi="zh-CN"/>
        </w:rPr>
      </w:pPr>
      <w:r>
        <w:rPr>
          <w:rFonts w:hint="eastAsia" w:ascii="宋体" w:hAnsi="宋体" w:eastAsia="宋体" w:cs="宋体"/>
          <w:sz w:val="22"/>
          <w:szCs w:val="22"/>
          <w:highlight w:val="none"/>
          <w:lang w:val="zh-CN" w:eastAsia="zh-CN" w:bidi="zh-CN"/>
        </w:rPr>
        <w:t>在国家改革开放政策的指引和社会各界朋友的大力支持下，经过了二十多年的创业拼搏，自1998年以来，历年被评为行业龙头企业、出口创汇先进企业、AAA诚信企业、纳税大户、纳税模范、明星企业等荣誉称号。</w:t>
      </w:r>
    </w:p>
    <w:p>
      <w:pPr>
        <w:adjustRightInd w:val="0"/>
        <w:snapToGrid w:val="0"/>
        <w:spacing w:line="400" w:lineRule="exact"/>
        <w:ind w:firstLine="440" w:firstLineChars="200"/>
        <w:rPr>
          <w:rFonts w:hint="eastAsia" w:ascii="宋体" w:hAnsi="宋体" w:eastAsia="宋体" w:cs="宋体"/>
          <w:sz w:val="22"/>
          <w:szCs w:val="22"/>
          <w:highlight w:val="none"/>
          <w:lang w:val="zh-CN" w:eastAsia="zh-CN" w:bidi="zh-CN"/>
        </w:rPr>
      </w:pPr>
      <w:r>
        <w:rPr>
          <w:rFonts w:hint="eastAsia" w:ascii="宋体" w:hAnsi="宋体" w:eastAsia="宋体" w:cs="宋体"/>
          <w:sz w:val="22"/>
          <w:szCs w:val="22"/>
          <w:highlight w:val="none"/>
          <w:lang w:val="zh-CN" w:eastAsia="zh-CN" w:bidi="zh-CN"/>
        </w:rPr>
        <w:t>公司一贯坚持精益生产管理和销售理念，秉持着“创中国箱包行业第一品牌”的公司奋斗目标；对内实行全面质量管理和精益生产模式，对外实行“客户至上，以诚取信，服务社会，回报社会”的经营宗旨。</w:t>
      </w:r>
    </w:p>
    <w:p>
      <w:pPr>
        <w:adjustRightInd w:val="0"/>
        <w:snapToGrid w:val="0"/>
        <w:spacing w:line="400" w:lineRule="exact"/>
        <w:ind w:firstLine="440" w:firstLineChars="200"/>
        <w:rPr>
          <w:rFonts w:ascii="宋体" w:hAnsi="宋体" w:cs="宋体"/>
          <w:sz w:val="24"/>
          <w:lang w:eastAsia="zh-CN"/>
        </w:rPr>
        <w:sectPr>
          <w:headerReference r:id="rId5" w:type="default"/>
          <w:footerReference r:id="rId6" w:type="default"/>
          <w:pgSz w:w="11907" w:h="16840"/>
          <w:pgMar w:top="1480" w:right="1140" w:bottom="1160" w:left="1360" w:header="849" w:footer="979" w:gutter="0"/>
          <w:cols w:space="720" w:num="1"/>
        </w:sectPr>
      </w:pPr>
      <w:r>
        <w:rPr>
          <w:rFonts w:hint="eastAsia" w:ascii="宋体" w:hAnsi="宋体" w:eastAsia="宋体" w:cs="宋体"/>
          <w:sz w:val="22"/>
          <w:szCs w:val="22"/>
          <w:highlight w:val="none"/>
          <w:lang w:val="zh-CN" w:eastAsia="zh-CN" w:bidi="zh-CN"/>
        </w:rPr>
        <w:t>同时，公司坚持“人人品管、追求卓越、顾客满意、铸造品牌” 的经营方针，努力创造团结、和谐的工作环境，积极引进各类高级技术与管理人才拓展企业发展实力，不断地建立更完美的企业运营体系，防范企业风险。本企业将与机遇和挑战并存，坚持走创新、完善、再创新的道路，提升企业核心竞争力，使企业做强，坚持走发展道路，使企业做大，跨国际区域逐鹿资本市场。</w:t>
      </w:r>
    </w:p>
    <w:p>
      <w:pPr>
        <w:pStyle w:val="3"/>
        <w:spacing w:before="600"/>
        <w:ind w:left="0"/>
        <w:rPr>
          <w:b/>
          <w:bCs/>
        </w:rPr>
      </w:pPr>
      <w:r>
        <w:rPr>
          <w:b/>
          <w:bCs/>
        </w:rPr>
        <w:t>一、责任聚焦</w:t>
      </w:r>
      <w:bookmarkEnd w:id="2"/>
    </w:p>
    <w:p>
      <w:pPr>
        <w:pStyle w:val="5"/>
        <w:spacing w:before="6"/>
        <w:ind w:left="0"/>
        <w:rPr>
          <w:sz w:val="22"/>
        </w:rPr>
      </w:pPr>
    </w:p>
    <w:p>
      <w:pPr>
        <w:pStyle w:val="5"/>
        <w:spacing w:line="386" w:lineRule="auto"/>
        <w:ind w:right="240" w:firstLine="480"/>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pPr>
        <w:pStyle w:val="16"/>
        <w:numPr>
          <w:ilvl w:val="1"/>
          <w:numId w:val="2"/>
        </w:numPr>
        <w:tabs>
          <w:tab w:val="left" w:pos="600"/>
        </w:tabs>
        <w:spacing w:before="3"/>
        <w:rPr>
          <w:sz w:val="24"/>
        </w:rPr>
      </w:pPr>
      <w:r>
        <w:rPr>
          <w:sz w:val="24"/>
        </w:rPr>
        <w:t>社会责任观</w:t>
      </w:r>
    </w:p>
    <w:p>
      <w:pPr>
        <w:pStyle w:val="5"/>
        <w:spacing w:before="189" w:line="386" w:lineRule="auto"/>
        <w:ind w:right="359" w:firstLine="480"/>
        <w:jc w:val="both"/>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的公共关系已经远远不能适应时代潮流以及公众对环保的需要，取而代之的应该</w:t>
      </w:r>
      <w:r>
        <w:rPr>
          <w:spacing w:val="-7"/>
        </w:rPr>
        <w:t>是企业对社会责任的承诺与行动，它们不但应该融入企业的发展战略，而且应成</w:t>
      </w:r>
      <w:r>
        <w:rPr>
          <w:spacing w:val="-6"/>
        </w:rPr>
        <w:t>为公共关系传播的出发点和着眼点。于是我们始终把“</w:t>
      </w:r>
      <w:r>
        <w:rPr>
          <w:rFonts w:hint="eastAsia"/>
          <w:spacing w:val="-6"/>
          <w:lang w:eastAsia="zh-CN"/>
        </w:rPr>
        <w:t>客户至上，以诚取信，服务社会，回报社会</w:t>
      </w:r>
      <w:r>
        <w:rPr>
          <w:spacing w:val="-6"/>
        </w:rPr>
        <w:t>”视为企</w:t>
      </w:r>
      <w:r>
        <w:t>业经营的长远战略，视为企业发展战略的精髓，视为企业文化的核心基石。</w:t>
      </w:r>
    </w:p>
    <w:p>
      <w:pPr>
        <w:pStyle w:val="5"/>
        <w:spacing w:before="7" w:line="386" w:lineRule="auto"/>
        <w:ind w:left="119" w:right="238" w:firstLine="480"/>
      </w:pPr>
      <w:r>
        <w:rPr>
          <w:spacing w:val="-7"/>
        </w:rPr>
        <w:t>企业社会责任不是口号，我们创立之初就确定我们是一个价值观公司，没有</w:t>
      </w:r>
      <w:r>
        <w:rPr>
          <w:spacing w:val="-12"/>
        </w:rPr>
        <w:t>历史，社会责任是无根的；没有对未来的承诺，社会责任是短命的。多年来，</w:t>
      </w:r>
      <w:r>
        <w:rPr>
          <w:rFonts w:hint="eastAsia"/>
          <w:spacing w:val="-12"/>
        </w:rPr>
        <w:t>公司围绕</w:t>
      </w:r>
      <w:r>
        <w:rPr>
          <w:spacing w:val="-1"/>
        </w:rPr>
        <w:t>企业使命</w:t>
      </w:r>
      <w:r>
        <w:rPr>
          <w:rFonts w:hint="eastAsia"/>
          <w:spacing w:val="-1"/>
        </w:rPr>
        <w:t>、</w:t>
      </w:r>
      <w:r>
        <w:rPr>
          <w:rFonts w:hint="eastAsia"/>
          <w:spacing w:val="-11"/>
          <w:lang w:val="en-US"/>
        </w:rPr>
        <w:t>愿景</w:t>
      </w:r>
      <w:r>
        <w:rPr>
          <w:rFonts w:hint="eastAsia"/>
          <w:spacing w:val="-11"/>
        </w:rPr>
        <w:t>、及</w:t>
      </w:r>
      <w:r>
        <w:rPr>
          <w:rFonts w:hint="eastAsia"/>
          <w:spacing w:val="-11"/>
          <w:lang w:val="en-US"/>
        </w:rPr>
        <w:t>核心价值观</w:t>
      </w:r>
      <w:r>
        <w:rPr>
          <w:spacing w:val="-11"/>
        </w:rPr>
        <w:t>，在履行企业社会责任中做了大量工作。</w:t>
      </w:r>
    </w:p>
    <w:p>
      <w:pPr>
        <w:pStyle w:val="16"/>
        <w:numPr>
          <w:ilvl w:val="1"/>
          <w:numId w:val="2"/>
        </w:numPr>
        <w:tabs>
          <w:tab w:val="left" w:pos="600"/>
        </w:tabs>
        <w:ind w:hanging="481"/>
        <w:rPr>
          <w:sz w:val="24"/>
        </w:rPr>
      </w:pPr>
      <w:r>
        <w:rPr>
          <w:sz w:val="24"/>
        </w:rPr>
        <w:t>利益相关方</w:t>
      </w:r>
    </w:p>
    <w:p>
      <w:pPr>
        <w:pStyle w:val="5"/>
        <w:spacing w:before="189" w:after="360" w:afterLines="150" w:line="386" w:lineRule="auto"/>
        <w:ind w:left="119" w:right="386" w:firstLine="482"/>
        <w:jc w:val="both"/>
      </w:pPr>
      <w:r>
        <mc:AlternateContent>
          <mc:Choice Requires="wps">
            <w:drawing>
              <wp:anchor distT="0" distB="0" distL="114300" distR="114300" simplePos="0" relativeHeight="251660288" behindDoc="0" locked="0" layoutInCell="1" allowOverlap="1">
                <wp:simplePos x="0" y="0"/>
                <wp:positionH relativeFrom="page">
                  <wp:posOffset>1132205</wp:posOffset>
                </wp:positionH>
                <wp:positionV relativeFrom="paragraph">
                  <wp:posOffset>965200</wp:posOffset>
                </wp:positionV>
                <wp:extent cx="5443855" cy="13931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443855" cy="1393190"/>
                        </a:xfrm>
                        <a:prstGeom prst="rect">
                          <a:avLst/>
                        </a:prstGeom>
                        <a:noFill/>
                        <a:ln>
                          <a:noFill/>
                        </a:ln>
                      </wps:spPr>
                      <wps:txbx>
                        <w:txbxContent>
                          <w:tbl>
                            <w:tblPr>
                              <w:tblStyle w:val="12"/>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980" w:type="dxa"/>
                                </w:tcPr>
                                <w:p>
                                  <w:pPr>
                                    <w:pStyle w:val="17"/>
                                    <w:ind w:left="134" w:right="321"/>
                                    <w:jc w:val="center"/>
                                    <w:rPr>
                                      <w:sz w:val="24"/>
                                    </w:rPr>
                                  </w:pPr>
                                  <w:r>
                                    <w:rPr>
                                      <w:sz w:val="24"/>
                                    </w:rPr>
                                    <w:t>利益相关方</w:t>
                                  </w:r>
                                </w:p>
                              </w:tc>
                              <w:tc>
                                <w:tcPr>
                                  <w:tcW w:w="6396" w:type="dxa"/>
                                </w:tcPr>
                                <w:p>
                                  <w:pPr>
                                    <w:pStyle w:val="17"/>
                                    <w:ind w:left="2701" w:right="2445"/>
                                    <w:jc w:val="center"/>
                                    <w:rPr>
                                      <w:sz w:val="24"/>
                                    </w:rPr>
                                  </w:pPr>
                                  <w:r>
                                    <w:rPr>
                                      <w:sz w:val="24"/>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980" w:type="dxa"/>
                                </w:tcPr>
                                <w:p>
                                  <w:pPr>
                                    <w:pStyle w:val="17"/>
                                    <w:spacing w:before="158"/>
                                    <w:ind w:left="134" w:right="355"/>
                                    <w:jc w:val="center"/>
                                    <w:rPr>
                                      <w:sz w:val="24"/>
                                    </w:rPr>
                                  </w:pPr>
                                  <w:r>
                                    <w:rPr>
                                      <w:sz w:val="24"/>
                                    </w:rPr>
                                    <w:t>股东与投资者</w:t>
                                  </w:r>
                                </w:p>
                              </w:tc>
                              <w:tc>
                                <w:tcPr>
                                  <w:tcW w:w="6396" w:type="dxa"/>
                                </w:tcPr>
                                <w:p>
                                  <w:pPr>
                                    <w:pStyle w:val="17"/>
                                    <w:spacing w:before="158" w:line="386" w:lineRule="auto"/>
                                    <w:ind w:right="32"/>
                                    <w:rPr>
                                      <w:sz w:val="24"/>
                                    </w:rPr>
                                  </w:pPr>
                                  <w:r>
                                    <w:rPr>
                                      <w:sz w:val="24"/>
                                    </w:rPr>
                                    <w:t>准确及时披露经营状况和重大事项信息，提供合理投资回报遵循责任经营和责任投资的基本原则</w:t>
                                  </w:r>
                                </w:p>
                              </w:tc>
                            </w:tr>
                          </w:tbl>
                          <w:p>
                            <w:pPr>
                              <w:pStyle w:val="5"/>
                              <w:ind w:left="0"/>
                              <w:rPr>
                                <w:highlight w:val="yellow"/>
                              </w:rPr>
                            </w:pPr>
                          </w:p>
                        </w:txbxContent>
                      </wps:txbx>
                      <wps:bodyPr lIns="0" tIns="0" rIns="0" bIns="0" upright="1"/>
                    </wps:wsp>
                  </a:graphicData>
                </a:graphic>
              </wp:anchor>
            </w:drawing>
          </mc:Choice>
          <mc:Fallback>
            <w:pict>
              <v:shape id="文本框 2" o:spid="_x0000_s1026" o:spt="202" type="#_x0000_t202" style="position:absolute;left:0pt;margin-left:89.15pt;margin-top:76pt;height:109.7pt;width:428.65pt;mso-position-horizontal-relative:page;z-index:251660288;mso-width-relative:page;mso-height-relative:page;" filled="f" stroked="f" coordsize="21600,21600" o:gfxdata="UEsDBAoAAAAAAIdO4kAAAAAAAAAAAAAAAAAEAAAAZHJzL1BLAwQUAAAACACHTuJAUKVtWdkAAAAM&#10;AQAADwAAAGRycy9kb3ducmV2LnhtbE2Py07DMBBF90j8gzVI7KidhqYlxKkQglUlRBoWLJ3YTazG&#10;4xC7r79nuoLdXM3RfRTrsxvY0UzBepSQzAQwg63XFjsJX/X7wwpYiAq1GjwaCRcTYF3e3hQq1/6E&#10;lTluY8fIBEOuJPQxjjnnoe2NU2HmR4P02/nJqUhy6rie1InM3cDnQmTcKYuU0KvRvPam3W8PTsLL&#10;N1Zv9uej+ax2la3rJ4GbbC/l/V0inoFFc45/MFzrU3UoqVPjD6gDG0gvVymhdCzmNOpKiHSRAWsk&#10;pMvkEXhZ8P8jyl9QSwMEFAAAAAgAh07iQPQlgI69AQAAcwMAAA4AAABkcnMvZTJvRG9jLnhtbK1T&#10;S27bMBDdF8gdCO5r+hMXiWA5QGEkKFC0BdIegKZIiwDJIUjaki+Q3KCrbrrvuXyODmnZaZNNFtlQ&#10;o5nRm/feUIub3hqykyFqcDWdjMaUSCeg0W5T0x/fb99fURITdw034GRN9zLSm+XFu0XnKzmFFkwj&#10;A0EQF6vO17RNyVeMRdFKy+MIvHRYVBAsT/gaNqwJvEN0a9h0PP7AOgiNDyBkjJhdHYt0QAyvAQSl&#10;tJArEFsrXTqiBml4Qkmx1T7SZWGrlBTpq1JRJmJqikpTOXEIxut8suWCV5vAfavFQIG/hsIzTZZr&#10;h0PPUCueONkG/QLKahEggkojAZYdhRRHUMVk/Myb+5Z7WbSg1dGfTY9vByu+7L4Fohu8CZQ4bnHh&#10;h5+Ph19/Dr8fyDTb0/lYYde9x77Uf4Q+tw75iMmsulfB5ifqIVhHc/dnc2WfiMDk/PJydjWfUyKw&#10;NpldzybXxX729LkPMd1JsCQHNQ24vWIq332OCUdi66klT3Nwq40pGzTuvwQ25gzL3I8cc5T6dT8Q&#10;X0OzRz3mk0Mv8704BeEUrE/B1ge9aZFOUV0gcReFzHBv8rL/fS+Dn/6V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pW1Z2QAAAAwBAAAPAAAAAAAAAAEAIAAAACIAAABkcnMvZG93bnJldi54bWxQ&#10;SwECFAAUAAAACACHTuJA9CWAjr0BAABzAwAADgAAAAAAAAABACAAAAAoAQAAZHJzL2Uyb0RvYy54&#10;bWxQSwUGAAAAAAYABgBZAQAAVwUAAAAA&#10;">
                <v:fill on="f" focussize="0,0"/>
                <v:stroke on="f"/>
                <v:imagedata o:title=""/>
                <o:lock v:ext="edit" aspectratio="f"/>
                <v:textbox inset="0mm,0mm,0mm,0mm">
                  <w:txbxContent>
                    <w:tbl>
                      <w:tblPr>
                        <w:tblStyle w:val="12"/>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atLeast"/>
                        </w:trPr>
                        <w:tc>
                          <w:tcPr>
                            <w:tcW w:w="1980" w:type="dxa"/>
                          </w:tcPr>
                          <w:p>
                            <w:pPr>
                              <w:pStyle w:val="17"/>
                              <w:ind w:left="134" w:right="321"/>
                              <w:jc w:val="center"/>
                              <w:rPr>
                                <w:sz w:val="24"/>
                              </w:rPr>
                            </w:pPr>
                            <w:r>
                              <w:rPr>
                                <w:sz w:val="24"/>
                              </w:rPr>
                              <w:t>利益相关方</w:t>
                            </w:r>
                          </w:p>
                        </w:tc>
                        <w:tc>
                          <w:tcPr>
                            <w:tcW w:w="6396" w:type="dxa"/>
                          </w:tcPr>
                          <w:p>
                            <w:pPr>
                              <w:pStyle w:val="17"/>
                              <w:ind w:left="2701" w:right="2445"/>
                              <w:jc w:val="center"/>
                              <w:rPr>
                                <w:sz w:val="24"/>
                              </w:rPr>
                            </w:pPr>
                            <w:r>
                              <w:rPr>
                                <w:sz w:val="24"/>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980" w:type="dxa"/>
                          </w:tcPr>
                          <w:p>
                            <w:pPr>
                              <w:pStyle w:val="17"/>
                              <w:spacing w:before="158"/>
                              <w:ind w:left="134" w:right="355"/>
                              <w:jc w:val="center"/>
                              <w:rPr>
                                <w:sz w:val="24"/>
                              </w:rPr>
                            </w:pPr>
                            <w:r>
                              <w:rPr>
                                <w:sz w:val="24"/>
                              </w:rPr>
                              <w:t>股东与投资者</w:t>
                            </w:r>
                          </w:p>
                        </w:tc>
                        <w:tc>
                          <w:tcPr>
                            <w:tcW w:w="6396" w:type="dxa"/>
                          </w:tcPr>
                          <w:p>
                            <w:pPr>
                              <w:pStyle w:val="17"/>
                              <w:spacing w:before="158" w:line="386" w:lineRule="auto"/>
                              <w:ind w:right="32"/>
                              <w:rPr>
                                <w:sz w:val="24"/>
                              </w:rPr>
                            </w:pPr>
                            <w:r>
                              <w:rPr>
                                <w:sz w:val="24"/>
                              </w:rPr>
                              <w:t>准确及时披露经营状况和重大事项信息，提供合理投资回报遵循责任经营和责任投资的基本原则</w:t>
                            </w:r>
                          </w:p>
                        </w:tc>
                      </w:tr>
                    </w:tbl>
                    <w:p>
                      <w:pPr>
                        <w:pStyle w:val="5"/>
                        <w:ind w:left="0"/>
                        <w:rPr>
                          <w:highlight w:val="yellow"/>
                        </w:rPr>
                      </w:pPr>
                    </w:p>
                  </w:txbxContent>
                </v:textbox>
              </v:shape>
            </w:pict>
          </mc:Fallback>
        </mc:AlternateContent>
      </w:r>
      <w: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pPr>
        <w:spacing w:line="386" w:lineRule="auto"/>
        <w:jc w:val="both"/>
        <w:sectPr>
          <w:headerReference r:id="rId7" w:type="default"/>
          <w:footerReference r:id="rId8" w:type="default"/>
          <w:pgSz w:w="11910" w:h="16840"/>
          <w:pgMar w:top="1420" w:right="1440" w:bottom="1380" w:left="1680" w:header="877" w:footer="1197" w:gutter="0"/>
          <w:cols w:space="720" w:num="1"/>
        </w:sectPr>
      </w:pPr>
    </w:p>
    <w:tbl>
      <w:tblPr>
        <w:tblStyle w:val="12"/>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7"/>
              <w:ind w:left="434"/>
              <w:rPr>
                <w:sz w:val="24"/>
              </w:rPr>
            </w:pPr>
            <w:r>
              <w:rPr>
                <w:sz w:val="24"/>
              </w:rPr>
              <w:t>客 户</w:t>
            </w:r>
          </w:p>
        </w:tc>
        <w:tc>
          <w:tcPr>
            <w:tcW w:w="6396" w:type="dxa"/>
          </w:tcPr>
          <w:p>
            <w:pPr>
              <w:pStyle w:val="17"/>
              <w:spacing w:line="388" w:lineRule="auto"/>
              <w:ind w:right="31"/>
              <w:rPr>
                <w:sz w:val="24"/>
              </w:rPr>
            </w:pPr>
            <w:r>
              <w:rPr>
                <w:sz w:val="24"/>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7"/>
              <w:spacing w:before="155"/>
              <w:ind w:left="434"/>
              <w:rPr>
                <w:sz w:val="24"/>
              </w:rPr>
            </w:pPr>
            <w:r>
              <w:rPr>
                <w:sz w:val="24"/>
              </w:rPr>
              <w:t>员 工</w:t>
            </w:r>
          </w:p>
        </w:tc>
        <w:tc>
          <w:tcPr>
            <w:tcW w:w="6396" w:type="dxa"/>
          </w:tcPr>
          <w:p>
            <w:pPr>
              <w:pStyle w:val="17"/>
              <w:spacing w:before="155" w:line="388" w:lineRule="auto"/>
              <w:ind w:right="34"/>
              <w:rPr>
                <w:sz w:val="24"/>
              </w:rPr>
            </w:pPr>
            <w:r>
              <w:rPr>
                <w:sz w:val="24"/>
              </w:rPr>
              <w:t>维护员工合法权益；创造良好的工作环境；给予合理的待遇提供教育和培训，为员工创造发展空间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7"/>
              <w:spacing w:before="155"/>
              <w:ind w:left="434"/>
              <w:rPr>
                <w:sz w:val="24"/>
              </w:rPr>
            </w:pPr>
            <w:r>
              <w:rPr>
                <w:sz w:val="24"/>
              </w:rPr>
              <w:t>合作伙伴</w:t>
            </w:r>
          </w:p>
        </w:tc>
        <w:tc>
          <w:tcPr>
            <w:tcW w:w="6396" w:type="dxa"/>
          </w:tcPr>
          <w:p>
            <w:pPr>
              <w:pStyle w:val="17"/>
              <w:spacing w:before="155" w:line="388" w:lineRule="auto"/>
              <w:ind w:right="31"/>
              <w:rPr>
                <w:sz w:val="24"/>
              </w:rPr>
            </w:pPr>
            <w:r>
              <w:rPr>
                <w:sz w:val="24"/>
              </w:rPr>
              <w:t>实行公平采购；协助履行社会责任；建立相互尊重的合作关系；坚持诚实守信，维护企业的信誉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980" w:type="dxa"/>
          </w:tcPr>
          <w:p>
            <w:pPr>
              <w:pStyle w:val="17"/>
              <w:spacing w:before="158"/>
              <w:ind w:left="434"/>
              <w:rPr>
                <w:sz w:val="24"/>
              </w:rPr>
            </w:pPr>
            <w:r>
              <w:rPr>
                <w:sz w:val="24"/>
              </w:rPr>
              <w:t>政 府</w:t>
            </w:r>
          </w:p>
        </w:tc>
        <w:tc>
          <w:tcPr>
            <w:tcW w:w="6396" w:type="dxa"/>
          </w:tcPr>
          <w:p>
            <w:pPr>
              <w:pStyle w:val="17"/>
              <w:spacing w:before="158"/>
              <w:rPr>
                <w:sz w:val="24"/>
              </w:rPr>
            </w:pPr>
            <w:r>
              <w:rPr>
                <w:sz w:val="24"/>
              </w:rPr>
              <w:t>依法纳税，提供就业机会，带动地方经济发展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980" w:type="dxa"/>
          </w:tcPr>
          <w:p>
            <w:pPr>
              <w:pStyle w:val="17"/>
              <w:ind w:left="434"/>
              <w:rPr>
                <w:sz w:val="24"/>
              </w:rPr>
            </w:pPr>
            <w:r>
              <w:rPr>
                <w:sz w:val="24"/>
              </w:rPr>
              <w:t>自然环境</w:t>
            </w:r>
          </w:p>
        </w:tc>
        <w:tc>
          <w:tcPr>
            <w:tcW w:w="6396" w:type="dxa"/>
          </w:tcPr>
          <w:p>
            <w:pPr>
              <w:pStyle w:val="17"/>
              <w:spacing w:line="386" w:lineRule="auto"/>
              <w:ind w:right="31"/>
              <w:rPr>
                <w:sz w:val="24"/>
              </w:rPr>
            </w:pPr>
            <w:r>
              <w:rPr>
                <w:sz w:val="24"/>
              </w:rPr>
              <w:t>推行绿色生产，实践环保经营，倡导节能减排，开展水资源保护，改善自然生态系统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980" w:type="dxa"/>
          </w:tcPr>
          <w:p>
            <w:pPr>
              <w:pStyle w:val="17"/>
              <w:ind w:left="434"/>
              <w:rPr>
                <w:sz w:val="24"/>
              </w:rPr>
            </w:pPr>
            <w:r>
              <w:rPr>
                <w:sz w:val="24"/>
              </w:rPr>
              <w:t>社区居民</w:t>
            </w:r>
          </w:p>
        </w:tc>
        <w:tc>
          <w:tcPr>
            <w:tcW w:w="6396" w:type="dxa"/>
          </w:tcPr>
          <w:p>
            <w:pPr>
              <w:pStyle w:val="17"/>
              <w:rPr>
                <w:sz w:val="24"/>
              </w:rPr>
            </w:pPr>
            <w:r>
              <w:rPr>
                <w:sz w:val="24"/>
              </w:rPr>
              <w:t>参与社会公益活动，为社会可持续、和谐发展做贡献</w:t>
            </w:r>
          </w:p>
        </w:tc>
      </w:tr>
    </w:tbl>
    <w:p>
      <w:pPr>
        <w:pStyle w:val="5"/>
        <w:spacing w:before="10"/>
        <w:ind w:left="0"/>
        <w:rPr>
          <w:sz w:val="7"/>
        </w:rPr>
      </w:pPr>
    </w:p>
    <w:p>
      <w:pPr>
        <w:pStyle w:val="16"/>
        <w:numPr>
          <w:ilvl w:val="1"/>
          <w:numId w:val="2"/>
        </w:numPr>
        <w:tabs>
          <w:tab w:val="left" w:pos="600"/>
        </w:tabs>
        <w:spacing w:before="66"/>
        <w:rPr>
          <w:sz w:val="24"/>
        </w:rPr>
      </w:pPr>
      <w:r>
        <w:rPr>
          <w:sz w:val="24"/>
        </w:rPr>
        <w:t>责任体系</w:t>
      </w:r>
    </w:p>
    <w:p>
      <w:pPr>
        <w:pStyle w:val="5"/>
        <w:spacing w:before="189" w:line="386" w:lineRule="auto"/>
        <w:ind w:right="240" w:firstLine="480"/>
      </w:pPr>
      <w:r>
        <w:rPr>
          <w:spacing w:val="-6"/>
        </w:rPr>
        <w:t>对利益相关者的法律责任，这一责任主要包括企业根据《中华人民共和国公</w:t>
      </w:r>
      <w:r>
        <w:rPr>
          <w:spacing w:val="-13"/>
        </w:rPr>
        <w:t>司法》、 《中华人民共和国合同法》等法律法规，对出资人、债权人、供应商、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法律规定进行利益分配，为社会提供最基本的产品和服务质量保证，不损害企业所在社区的合法权益，不影响其它社会团体的利益等内容。</w:t>
      </w:r>
    </w:p>
    <w:p>
      <w:pPr>
        <w:pStyle w:val="5"/>
        <w:spacing w:before="7" w:line="386" w:lineRule="auto"/>
        <w:ind w:right="119" w:firstLine="480"/>
      </w:pPr>
      <w:r>
        <w:rPr>
          <w:spacing w:val="-8"/>
        </w:rPr>
        <w:t>对环境的法律责任，这一责任主要包括企业根据《中华人民共和国环境保护</w:t>
      </w:r>
      <w:r>
        <w:rPr>
          <w:spacing w:val="-10"/>
        </w:rPr>
        <w:t>法》等法律法规，在生产经营活动中必须履行资源和能耗的节约标准，必须达到</w:t>
      </w:r>
      <w:r>
        <w:rPr>
          <w:spacing w:val="-16"/>
        </w:rPr>
        <w:t>国家强制规定的污染排放标准，对不能达标的项目必须加强技术改造和污染治理，</w:t>
      </w:r>
      <w:r>
        <w:t>努力达到国家规定的各项环保标准等内容。</w:t>
      </w:r>
    </w:p>
    <w:p>
      <w:pPr>
        <w:pStyle w:val="5"/>
        <w:spacing w:before="2" w:line="386" w:lineRule="auto"/>
        <w:ind w:right="359" w:firstLine="480"/>
        <w:jc w:val="both"/>
      </w:pPr>
      <w:r>
        <w:rPr>
          <w:spacing w:val="-9"/>
        </w:rPr>
        <w:t>对员工的法律责任，这一责任主要包括企业根据《中华人民共和国劳动合同</w:t>
      </w:r>
      <w:r>
        <w:rPr>
          <w:spacing w:val="-12"/>
        </w:rPr>
        <w:t>法》等法律法规，必须为员工生产提供安全保障，必须按照国家政策保证员工的</w:t>
      </w:r>
      <w:r>
        <w:rPr>
          <w:spacing w:val="-8"/>
        </w:rPr>
        <w:t>各项福利待遇，必须为员工办理各种国家所规定的生育、失业、养老、疾病等基</w:t>
      </w:r>
      <w:r>
        <w:t>本社会保险等内容。</w:t>
      </w:r>
    </w:p>
    <w:p>
      <w:pPr>
        <w:spacing w:line="386" w:lineRule="auto"/>
        <w:jc w:val="both"/>
        <w:sectPr>
          <w:pgSz w:w="11910" w:h="16840"/>
          <w:pgMar w:top="1420" w:right="1440" w:bottom="1380" w:left="1680" w:header="877" w:footer="1197" w:gutter="0"/>
          <w:cols w:space="720" w:num="1"/>
        </w:sectPr>
      </w:pPr>
    </w:p>
    <w:p>
      <w:pPr>
        <w:pStyle w:val="5"/>
        <w:spacing w:before="166" w:line="386" w:lineRule="auto"/>
        <w:ind w:right="360" w:firstLine="480"/>
        <w:jc w:val="both"/>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pPr>
        <w:pStyle w:val="3"/>
        <w:spacing w:before="143"/>
        <w:ind w:left="0"/>
        <w:rPr>
          <w:b/>
          <w:bCs/>
        </w:rPr>
      </w:pPr>
      <w:bookmarkStart w:id="3" w:name="二、战略与管理"/>
      <w:bookmarkEnd w:id="3"/>
      <w:bookmarkStart w:id="4" w:name="_Toc24531706"/>
      <w:r>
        <w:rPr>
          <w:b/>
          <w:bCs/>
        </w:rPr>
        <w:t>二、战略与管理</w:t>
      </w:r>
      <w:bookmarkEnd w:id="4"/>
    </w:p>
    <w:p>
      <w:pPr>
        <w:pStyle w:val="5"/>
        <w:spacing w:before="166" w:line="386" w:lineRule="auto"/>
        <w:ind w:right="359" w:firstLine="480"/>
        <w:jc w:val="both"/>
      </w:pPr>
      <w:r>
        <w:t>a）</w:t>
      </w:r>
      <w:r>
        <w:rPr>
          <w:rFonts w:hint="eastAsia"/>
        </w:rPr>
        <w:t>构建独具特色的企业文化并向相关方沟通宣贯</w:t>
      </w:r>
    </w:p>
    <w:p>
      <w:pPr>
        <w:pStyle w:val="5"/>
        <w:spacing w:line="387" w:lineRule="auto"/>
        <w:ind w:left="119" w:right="357" w:firstLine="482"/>
        <w:jc w:val="both"/>
      </w:pPr>
      <w:r>
        <w:rPr>
          <w:rFonts w:hint="eastAsia"/>
        </w:rPr>
        <w:t>企业文化是企业的思维方式和行事准则，是企业个性化的体现。它是植根于企业内部的精神载体，可以促进组织的管理发展，增强企业凝聚力，是一个企业的旗帜、灵魂和方向。从成立之初，随着企业的创立、成长与发展，公司</w:t>
      </w:r>
      <w:r>
        <w:rPr>
          <w:rFonts w:hint="eastAsia"/>
          <w:lang w:val="en-US"/>
        </w:rPr>
        <w:t>已</w:t>
      </w:r>
      <w:r>
        <w:rPr>
          <w:rFonts w:hint="eastAsia"/>
        </w:rPr>
        <w:t>逐步形成了其独具特色的企业文化体系。</w:t>
      </w:r>
    </w:p>
    <w:p>
      <w:pPr>
        <w:pStyle w:val="5"/>
        <w:spacing w:before="166" w:line="386" w:lineRule="auto"/>
        <w:ind w:right="359" w:firstLine="480"/>
        <w:jc w:val="both"/>
      </w:pPr>
      <w:r>
        <w:rPr>
          <w:rFonts w:hint="eastAsia"/>
        </w:rPr>
        <w:t>1）确立以使命、愿景和价值观为和核心的文化</w:t>
      </w:r>
    </w:p>
    <w:p>
      <w:pPr>
        <w:spacing w:line="360" w:lineRule="auto"/>
        <w:ind w:firstLine="480" w:firstLineChars="200"/>
        <w:rPr>
          <w:sz w:val="24"/>
          <w:szCs w:val="24"/>
          <w:lang w:val="en-US"/>
        </w:rPr>
      </w:pPr>
      <w:r>
        <w:rPr>
          <w:rFonts w:hint="eastAsia"/>
          <w:sz w:val="24"/>
          <w:szCs w:val="24"/>
          <w:lang w:val="en-US"/>
        </w:rPr>
        <w:t>公司自创建以来以一流的品质、优良的信誉，为诸多国内、国际著名品牌贴牌加工服务。</w:t>
      </w:r>
    </w:p>
    <w:p>
      <w:pPr>
        <w:spacing w:line="360" w:lineRule="auto"/>
        <w:ind w:firstLine="480" w:firstLineChars="200"/>
        <w:rPr>
          <w:sz w:val="24"/>
          <w:szCs w:val="24"/>
          <w:lang w:val="en-US"/>
        </w:rPr>
      </w:pPr>
      <w:r>
        <w:rPr>
          <w:rFonts w:hint="eastAsia"/>
          <w:sz w:val="24"/>
          <w:szCs w:val="24"/>
          <w:lang w:val="en-US"/>
        </w:rPr>
        <w:t>公司经过多年的运营，积累了较多的管理经验，培养了一批专业的管理人员、设计人员和操作能手，产品质量稳定，在顾客群中有较高的认可度。</w:t>
      </w:r>
    </w:p>
    <w:p>
      <w:pPr>
        <w:spacing w:line="360" w:lineRule="auto"/>
        <w:ind w:firstLine="480" w:firstLineChars="200"/>
      </w:pPr>
      <w:r>
        <w:rPr>
          <w:rFonts w:hint="eastAsia"/>
          <w:sz w:val="24"/>
          <w:szCs w:val="24"/>
          <w:lang w:val="en-US"/>
        </w:rPr>
        <w:t>公司自创立以来，基于行业特点及企业发展逐步凝练了核心价值观，并随着公司的发展而不断调整和提升，最终提炼形成了公司的核心价值理念体系。</w:t>
      </w:r>
    </w:p>
    <w:tbl>
      <w:tblPr>
        <w:tblStyle w:val="12"/>
        <w:tblW w:w="89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4472C4"/>
            <w:vAlign w:val="center"/>
          </w:tcPr>
          <w:p>
            <w:pPr>
              <w:jc w:val="center"/>
              <w:rPr>
                <w:rFonts w:ascii="Arial" w:hAnsi="Arial"/>
                <w:b/>
                <w:bCs/>
                <w:color w:val="000000"/>
              </w:rPr>
            </w:pPr>
            <w:r>
              <w:rPr>
                <w:rFonts w:hint="eastAsia" w:ascii="Arial" w:hAnsi="Arial"/>
                <w:b/>
                <w:bCs/>
                <w:color w:val="000000"/>
              </w:rPr>
              <w:t>文化构成</w:t>
            </w:r>
          </w:p>
        </w:tc>
        <w:tc>
          <w:tcPr>
            <w:tcW w:w="7208" w:type="dxa"/>
            <w:shd w:val="clear" w:color="auto" w:fill="4472C4"/>
            <w:vAlign w:val="center"/>
          </w:tcPr>
          <w:p>
            <w:pPr>
              <w:jc w:val="center"/>
              <w:rPr>
                <w:rFonts w:ascii="Arial" w:hAnsi="Arial"/>
                <w:b/>
                <w:bCs/>
                <w:color w:val="000000"/>
              </w:rPr>
            </w:pPr>
            <w:r>
              <w:rPr>
                <w:rFonts w:hint="eastAsia" w:ascii="Arial" w:hAnsi="Arial"/>
                <w:b/>
                <w:bCs/>
                <w:color w:val="000000"/>
              </w:rPr>
              <w:t>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rPr>
            </w:pPr>
            <w:r>
              <w:rPr>
                <w:rFonts w:hint="eastAsia" w:ascii="Arial" w:hAnsi="Arial"/>
                <w:b/>
                <w:bCs/>
                <w:color w:val="000000"/>
              </w:rPr>
              <w:t>使命</w:t>
            </w:r>
          </w:p>
        </w:tc>
        <w:tc>
          <w:tcPr>
            <w:tcW w:w="7208" w:type="dxa"/>
            <w:shd w:val="clear" w:color="auto" w:fill="auto"/>
            <w:vAlign w:val="center"/>
          </w:tcPr>
          <w:p>
            <w:pPr>
              <w:jc w:val="center"/>
              <w:rPr>
                <w:rFonts w:hint="eastAsia" w:ascii="Arial" w:hAnsi="Arial" w:eastAsia="宋体"/>
                <w:lang w:eastAsia="zh-CN"/>
              </w:rPr>
            </w:pPr>
            <w:r>
              <w:rPr>
                <w:rFonts w:hint="eastAsia" w:asciiTheme="minorEastAsia" w:hAnsiTheme="minorEastAsia" w:eastAsiaTheme="minorEastAsia"/>
                <w:sz w:val="24"/>
                <w:szCs w:val="24"/>
                <w:lang w:val="en-US" w:eastAsia="zh-CN"/>
              </w:rPr>
              <w:t>高效优质，为争一流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rPr>
            </w:pPr>
            <w:r>
              <w:rPr>
                <w:rFonts w:hint="eastAsia" w:ascii="Arial" w:hAnsi="Arial"/>
                <w:b/>
                <w:bCs/>
                <w:color w:val="000000"/>
              </w:rPr>
              <w:t>愿景</w:t>
            </w:r>
          </w:p>
        </w:tc>
        <w:tc>
          <w:tcPr>
            <w:tcW w:w="7208" w:type="dxa"/>
            <w:shd w:val="clear" w:color="auto" w:fill="auto"/>
            <w:vAlign w:val="center"/>
          </w:tcPr>
          <w:p>
            <w:pPr>
              <w:jc w:val="center"/>
              <w:rPr>
                <w:rFonts w:hint="eastAsia" w:ascii="Arial" w:hAnsi="Arial" w:eastAsia="宋体"/>
                <w:lang w:eastAsia="zh-CN"/>
              </w:rPr>
            </w:pPr>
            <w:r>
              <w:rPr>
                <w:rFonts w:hint="eastAsia"/>
                <w:sz w:val="24"/>
                <w:szCs w:val="24"/>
                <w:lang w:eastAsia="zh-CN"/>
              </w:rPr>
              <w:t>创中国箱包行业第一品牌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rPr>
            </w:pPr>
            <w:r>
              <w:rPr>
                <w:rFonts w:hint="eastAsia" w:ascii="Arial" w:hAnsi="Arial"/>
                <w:b/>
                <w:bCs/>
                <w:color w:val="000000"/>
              </w:rPr>
              <w:t>价值观</w:t>
            </w:r>
          </w:p>
        </w:tc>
        <w:tc>
          <w:tcPr>
            <w:tcW w:w="7208" w:type="dxa"/>
            <w:shd w:val="clear" w:color="auto" w:fill="auto"/>
            <w:vAlign w:val="center"/>
          </w:tcPr>
          <w:p>
            <w:pPr>
              <w:jc w:val="center"/>
              <w:rPr>
                <w:rFonts w:hint="eastAsia" w:ascii="Arial" w:hAnsi="Arial" w:eastAsia="宋体"/>
                <w:color w:val="000000"/>
                <w:lang w:eastAsia="zh-CN"/>
              </w:rPr>
            </w:pPr>
            <w:r>
              <w:rPr>
                <w:rFonts w:hint="eastAsia"/>
                <w:color w:val="000000"/>
                <w:sz w:val="24"/>
                <w:szCs w:val="24"/>
                <w:lang w:eastAsia="zh-CN"/>
              </w:rPr>
              <w:t>诚信、敬业、务实、创新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rPr>
            </w:pPr>
            <w:r>
              <w:rPr>
                <w:rFonts w:hint="eastAsia" w:ascii="Arial" w:hAnsi="Arial"/>
                <w:b/>
                <w:bCs/>
                <w:color w:val="000000"/>
              </w:rPr>
              <w:t>经营理念</w:t>
            </w:r>
          </w:p>
        </w:tc>
        <w:tc>
          <w:tcPr>
            <w:tcW w:w="7208" w:type="dxa"/>
            <w:shd w:val="clear" w:color="auto" w:fill="auto"/>
            <w:vAlign w:val="center"/>
          </w:tcPr>
          <w:p>
            <w:pPr>
              <w:jc w:val="center"/>
              <w:rPr>
                <w:rFonts w:hint="eastAsia" w:ascii="Arial" w:hAnsi="Arial" w:eastAsia="宋体"/>
                <w:szCs w:val="24"/>
                <w:lang w:eastAsia="zh-CN"/>
              </w:rPr>
            </w:pPr>
            <w:r>
              <w:rPr>
                <w:rFonts w:hint="eastAsia"/>
                <w:color w:val="000000"/>
                <w:sz w:val="24"/>
                <w:szCs w:val="24"/>
                <w:lang w:eastAsia="zh-CN"/>
              </w:rPr>
              <w:t>客户至上，以诚取信，服务社会，回报社会</w:t>
            </w:r>
          </w:p>
        </w:tc>
      </w:tr>
    </w:tbl>
    <w:p>
      <w:pPr>
        <w:pStyle w:val="5"/>
        <w:spacing w:before="166" w:line="386" w:lineRule="auto"/>
        <w:ind w:right="359" w:firstLine="480"/>
        <w:jc w:val="center"/>
      </w:pPr>
      <w:r>
        <w:rPr>
          <w:rFonts w:hint="eastAsia"/>
          <w:lang w:val="en-US"/>
        </w:rPr>
        <w:t>图</w:t>
      </w:r>
      <w:r>
        <w:rPr>
          <w:rFonts w:hint="eastAsia"/>
        </w:rPr>
        <w:t>表</w:t>
      </w:r>
      <w:r>
        <w:rPr>
          <w:rFonts w:hint="eastAsia"/>
          <w:lang w:val="en-US"/>
        </w:rPr>
        <w:t>2</w:t>
      </w:r>
      <w:r>
        <w:rPr>
          <w:rFonts w:hint="eastAsia"/>
        </w:rPr>
        <w:t>.1-</w:t>
      </w:r>
      <w:r>
        <w:rPr>
          <w:rFonts w:hint="eastAsia"/>
          <w:lang w:val="en-US"/>
        </w:rPr>
        <w:t>1</w:t>
      </w:r>
      <w:r>
        <w:rPr>
          <w:rFonts w:hint="eastAsia"/>
        </w:rPr>
        <w:t xml:space="preserve"> 企业文化体系</w:t>
      </w:r>
    </w:p>
    <w:p>
      <w:pPr>
        <w:pStyle w:val="5"/>
        <w:spacing w:before="166" w:line="386" w:lineRule="auto"/>
        <w:ind w:right="359" w:firstLine="480"/>
        <w:jc w:val="both"/>
        <w:rPr>
          <w:rFonts w:asciiTheme="minorEastAsia" w:hAnsiTheme="minorEastAsia" w:eastAsiaTheme="minorEastAsia"/>
          <w:color w:val="000000" w:themeColor="text1"/>
          <w:lang w:val="en-US"/>
        </w:rPr>
      </w:pPr>
      <w:bookmarkStart w:id="5" w:name="_Ref329948790"/>
      <w:r>
        <w:t>企业使命</w:t>
      </w:r>
      <w:r>
        <w:rPr>
          <w:rFonts w:hint="eastAsia"/>
        </w:rPr>
        <w:t>：</w:t>
      </w:r>
      <w:r>
        <w:rPr>
          <w:rFonts w:hint="eastAsia" w:asciiTheme="minorEastAsia" w:hAnsiTheme="minorEastAsia" w:eastAsiaTheme="minorEastAsia"/>
          <w:color w:val="000000" w:themeColor="text1"/>
          <w:lang w:val="en-US" w:eastAsia="zh-CN"/>
        </w:rPr>
        <w:t>高效优质，为争一流</w:t>
      </w:r>
      <w:r>
        <w:rPr>
          <w:rFonts w:hint="eastAsia" w:asciiTheme="minorEastAsia" w:hAnsiTheme="minorEastAsia" w:eastAsiaTheme="minorEastAsia"/>
          <w:color w:val="000000" w:themeColor="text1"/>
          <w:lang w:val="en-US"/>
        </w:rPr>
        <w:t>。</w:t>
      </w:r>
    </w:p>
    <w:p>
      <w:pPr>
        <w:pStyle w:val="5"/>
        <w:spacing w:before="166" w:line="386" w:lineRule="auto"/>
        <w:ind w:right="359" w:firstLine="480"/>
        <w:jc w:val="both"/>
      </w:pPr>
      <w:r>
        <w:rPr>
          <w:rFonts w:hint="eastAsia"/>
        </w:rPr>
        <w:t>随着物质文化生活和精神文化生活不断的提高，消费者追求高品质生活的理念转变，在追求现代化快捷式生活的同时，</w:t>
      </w:r>
      <w:r>
        <w:rPr>
          <w:rFonts w:hint="eastAsia"/>
          <w:lang w:val="en-US"/>
        </w:rPr>
        <w:t>时尚、高端、舒适</w:t>
      </w:r>
      <w:r>
        <w:rPr>
          <w:rFonts w:hint="eastAsia"/>
        </w:rPr>
        <w:t>同样也成了现代人选择消费时一个主要的考虑点。公司专业致力于</w:t>
      </w:r>
      <w:r>
        <w:rPr>
          <w:rFonts w:hint="eastAsia"/>
          <w:lang w:eastAsia="zh-CN"/>
        </w:rPr>
        <w:t>箱包</w:t>
      </w:r>
      <w:r>
        <w:rPr>
          <w:rFonts w:hint="eastAsia"/>
        </w:rPr>
        <w:t>的生产和销售，</w:t>
      </w:r>
      <w:r>
        <w:rPr>
          <w:rFonts w:hint="eastAsia"/>
          <w:lang w:eastAsia="zh-CN"/>
        </w:rPr>
        <w:t>高效优质，为争一流</w:t>
      </w:r>
      <w:r>
        <w:rPr>
          <w:rFonts w:hint="eastAsia"/>
          <w:lang w:val="en-US"/>
        </w:rPr>
        <w:t>一直</w:t>
      </w:r>
      <w:r>
        <w:rPr>
          <w:rFonts w:hint="eastAsia"/>
        </w:rPr>
        <w:t>都是我们努力为之奋斗的使命。</w:t>
      </w:r>
    </w:p>
    <w:p>
      <w:pPr>
        <w:pStyle w:val="5"/>
        <w:spacing w:before="166" w:line="386" w:lineRule="auto"/>
        <w:ind w:right="359" w:firstLine="480"/>
        <w:jc w:val="both"/>
        <w:rPr>
          <w:color w:val="000000"/>
        </w:rPr>
      </w:pPr>
      <w:r>
        <w:rPr>
          <w:rFonts w:hint="eastAsia"/>
        </w:rPr>
        <w:t>企业愿景：</w:t>
      </w:r>
      <w:r>
        <w:rPr>
          <w:rFonts w:hint="eastAsia"/>
          <w:color w:val="000000"/>
          <w:lang w:eastAsia="zh-CN"/>
        </w:rPr>
        <w:t>创中国箱包行业第一品牌</w:t>
      </w:r>
      <w:r>
        <w:rPr>
          <w:rFonts w:hint="eastAsia"/>
          <w:color w:val="000000"/>
        </w:rPr>
        <w:t>。</w:t>
      </w:r>
    </w:p>
    <w:p>
      <w:pPr>
        <w:pStyle w:val="5"/>
        <w:spacing w:before="166" w:line="386" w:lineRule="auto"/>
        <w:ind w:right="359" w:firstLine="480"/>
        <w:jc w:val="both"/>
      </w:pPr>
      <w:r>
        <w:rPr>
          <w:rFonts w:hint="eastAsia"/>
          <w:lang w:val="en-US"/>
        </w:rPr>
        <w:t>公司自创建以来以一流的品质、优良的信誉，为诸多国内、国际著名品牌贴牌加工服务</w:t>
      </w:r>
      <w:r>
        <w:rPr>
          <w:rFonts w:hint="eastAsia"/>
        </w:rPr>
        <w:t>，目前在国内市场已有</w:t>
      </w:r>
      <w:r>
        <w:rPr>
          <w:rFonts w:hint="eastAsia"/>
          <w:lang w:val="en-US"/>
        </w:rPr>
        <w:t>一定</w:t>
      </w:r>
      <w:r>
        <w:rPr>
          <w:rFonts w:hint="eastAsia"/>
        </w:rPr>
        <w:t>的行业地位与影响力，结合当代社会经济发展形式，我公司致力</w:t>
      </w:r>
      <w:r>
        <w:rPr>
          <w:rFonts w:hint="eastAsia"/>
          <w:lang w:eastAsia="zh-CN"/>
        </w:rPr>
        <w:t>创中国箱包行业第一品牌</w:t>
      </w:r>
      <w:r>
        <w:rPr>
          <w:rFonts w:hint="eastAsia"/>
        </w:rPr>
        <w:t>。</w:t>
      </w:r>
    </w:p>
    <w:p>
      <w:pPr>
        <w:pStyle w:val="5"/>
        <w:spacing w:before="166" w:line="386" w:lineRule="auto"/>
        <w:ind w:right="359" w:firstLine="480"/>
        <w:jc w:val="both"/>
        <w:rPr>
          <w:rFonts w:hint="eastAsia" w:eastAsia="宋体"/>
          <w:lang w:eastAsia="zh-CN"/>
        </w:rPr>
      </w:pPr>
      <w:r>
        <w:rPr>
          <w:rFonts w:hint="eastAsia"/>
        </w:rPr>
        <w:t>核心价值观：</w:t>
      </w:r>
      <w:r>
        <w:rPr>
          <w:rFonts w:hint="eastAsia"/>
          <w:lang w:eastAsia="zh-CN"/>
        </w:rPr>
        <w:t>诚信、敬业、务实、创新</w:t>
      </w:r>
    </w:p>
    <w:p>
      <w:pPr>
        <w:pStyle w:val="5"/>
        <w:spacing w:before="166" w:line="386" w:lineRule="auto"/>
        <w:ind w:right="359" w:firstLine="480"/>
        <w:jc w:val="both"/>
      </w:pPr>
      <w:r>
        <w:rPr>
          <w:rFonts w:hint="eastAsia"/>
        </w:rPr>
        <w:t>诚信——待人待事诚实诚恳，讲信誉，守信用。勇于承担自身责任。胸怀坦荡，对事不对人，不斤斤计较且言行一致，表里如一。绝不传播未经证实的消息，不背后不负责任的谈人论事，以诚信之心为人处世。</w:t>
      </w:r>
    </w:p>
    <w:p>
      <w:pPr>
        <w:pStyle w:val="5"/>
        <w:spacing w:before="166" w:line="386" w:lineRule="auto"/>
        <w:ind w:right="359" w:firstLine="480"/>
        <w:jc w:val="both"/>
      </w:pPr>
      <w:r>
        <w:rPr>
          <w:rFonts w:hint="eastAsia"/>
        </w:rPr>
        <w:t>敬业——今天的事情不推到明天，自己的事不推给别人。认真对待考核制度，做事重方法，讲效益，绝不盲目从事，感情用事。有良好的职业操守，守规矩，重规章。</w:t>
      </w:r>
    </w:p>
    <w:p>
      <w:pPr>
        <w:pStyle w:val="5"/>
        <w:spacing w:before="166" w:line="386" w:lineRule="auto"/>
        <w:ind w:right="359" w:firstLine="480"/>
        <w:jc w:val="both"/>
      </w:pPr>
      <w:r>
        <w:rPr>
          <w:rFonts w:hint="eastAsia"/>
        </w:rPr>
        <w:t>务实——脚踏实地，言行一致。以“高标准、零缺陷”为追求，持续改进工作方法，提高作业品质。做事持之以恒，绝不半途而废。真抓实干，坚持目标导向和结果导向。靠专业优势和成果业绩赢得生存发展。</w:t>
      </w:r>
    </w:p>
    <w:p>
      <w:pPr>
        <w:pStyle w:val="5"/>
        <w:spacing w:before="166" w:line="386" w:lineRule="auto"/>
        <w:ind w:right="359" w:firstLine="480"/>
        <w:jc w:val="both"/>
      </w:pPr>
      <w:r>
        <w:rPr>
          <w:rFonts w:hint="eastAsia"/>
        </w:rPr>
        <w:t>创新——企业创新是企业持续发展的动力源泉，开拓创新的成功与坚持来源于集体的智慧和努力。我们的创新理念：脚踏实地、实事求是、讲究方法、注重效益。保持工作中的前瞻意识，勇于尝试新方法、新思路。不断的为企业和自身创造价值。以发展的眼光看待问题，以超越的心态迎接变革。不断自我创新，自我完善，寻求新的突破。</w:t>
      </w:r>
    </w:p>
    <w:p>
      <w:pPr>
        <w:pStyle w:val="5"/>
        <w:spacing w:before="166" w:line="386" w:lineRule="auto"/>
        <w:ind w:right="359" w:firstLine="480"/>
        <w:jc w:val="both"/>
        <w:rPr>
          <w:color w:val="000000"/>
        </w:rPr>
      </w:pPr>
      <w:r>
        <w:rPr>
          <w:rFonts w:hint="eastAsia"/>
        </w:rPr>
        <w:t>经营理念：</w:t>
      </w:r>
      <w:r>
        <w:rPr>
          <w:rFonts w:hint="eastAsia"/>
          <w:color w:val="000000"/>
          <w:lang w:eastAsia="zh-CN"/>
        </w:rPr>
        <w:t>客户至上，以诚取信，服务社会，回报社会</w:t>
      </w:r>
      <w:r>
        <w:rPr>
          <w:rFonts w:hint="eastAsia"/>
          <w:color w:val="000000"/>
        </w:rPr>
        <w:t>。</w:t>
      </w:r>
    </w:p>
    <w:p>
      <w:pPr>
        <w:pStyle w:val="5"/>
        <w:spacing w:before="166" w:line="386" w:lineRule="auto"/>
        <w:ind w:right="359" w:firstLine="480"/>
        <w:jc w:val="both"/>
      </w:pPr>
      <w:r>
        <w:rPr>
          <w:rFonts w:hint="eastAsia"/>
          <w:color w:val="000000"/>
          <w:lang w:val="en-US"/>
        </w:rPr>
        <w:t>通过管理手段，积极推进公司质量、环境和职业健康安全三体系建设，打造著名品牌，</w:t>
      </w:r>
      <w:r>
        <w:rPr>
          <w:rFonts w:hint="eastAsia"/>
          <w:lang w:val="en-US"/>
        </w:rPr>
        <w:t>以一流的品质、优良的信誉为客户服务</w:t>
      </w:r>
      <w:r>
        <w:rPr>
          <w:rFonts w:hint="eastAsia"/>
        </w:rPr>
        <w:t>，</w:t>
      </w:r>
      <w:r>
        <w:rPr>
          <w:rFonts w:hint="eastAsia"/>
          <w:lang w:val="en-US"/>
        </w:rPr>
        <w:t>通过技术打造精品</w:t>
      </w:r>
      <w:r>
        <w:rPr>
          <w:rFonts w:hint="eastAsia"/>
        </w:rPr>
        <w:t>。</w:t>
      </w:r>
    </w:p>
    <w:bookmarkEnd w:id="5"/>
    <w:p>
      <w:pPr>
        <w:pStyle w:val="5"/>
        <w:spacing w:before="166" w:line="386" w:lineRule="auto"/>
        <w:ind w:right="359" w:firstLine="480"/>
        <w:jc w:val="both"/>
      </w:pPr>
      <w:r>
        <w:rPr>
          <w:rFonts w:hint="eastAsia"/>
        </w:rPr>
        <w:t>2）企业文化理念的宣贯</w:t>
      </w:r>
    </w:p>
    <w:p>
      <w:pPr>
        <w:pStyle w:val="5"/>
        <w:spacing w:before="166" w:line="386" w:lineRule="auto"/>
        <w:ind w:right="359" w:firstLine="480"/>
        <w:jc w:val="both"/>
      </w:pPr>
      <w:r>
        <w:rPr>
          <w:rFonts w:hint="eastAsia"/>
        </w:rPr>
        <w:t>公司最高管理者非常注重企业文化建设，他相信“文化是最顶层，包括团队的方向，追求持续经营，要做顶级供应商就必须打造好企业文化”。</w:t>
      </w:r>
    </w:p>
    <w:p>
      <w:pPr>
        <w:pStyle w:val="5"/>
        <w:spacing w:before="166" w:line="386" w:lineRule="auto"/>
        <w:ind w:right="359" w:firstLine="480"/>
        <w:jc w:val="both"/>
      </w:pPr>
      <w:r>
        <w:rPr>
          <w:lang w:val="en-US" w:bidi="ar-SA"/>
        </w:rPr>
        <w:drawing>
          <wp:inline distT="0" distB="0" distL="114300" distR="114300">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10"/>
                    <a:stretch>
                      <a:fillRect/>
                    </a:stretch>
                  </pic:blipFill>
                  <pic:spPr>
                    <a:xfrm>
                      <a:off x="0" y="0"/>
                      <a:ext cx="4525645" cy="2484120"/>
                    </a:xfrm>
                    <a:prstGeom prst="rect">
                      <a:avLst/>
                    </a:prstGeom>
                    <a:noFill/>
                    <a:ln>
                      <a:noFill/>
                    </a:ln>
                  </pic:spPr>
                </pic:pic>
              </a:graphicData>
            </a:graphic>
          </wp:inline>
        </w:drawing>
      </w:r>
    </w:p>
    <w:p>
      <w:pPr>
        <w:pStyle w:val="5"/>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2</w:t>
      </w:r>
      <w:r>
        <w:fldChar w:fldCharType="end"/>
      </w:r>
      <w:r>
        <w:rPr>
          <w:rFonts w:hint="eastAsia"/>
        </w:rPr>
        <w:t xml:space="preserve"> 公司多渠道企业文化传播</w:t>
      </w:r>
    </w:p>
    <w:p>
      <w:pPr>
        <w:pStyle w:val="5"/>
        <w:spacing w:before="166" w:line="386" w:lineRule="auto"/>
        <w:ind w:right="359" w:firstLine="480"/>
        <w:jc w:val="both"/>
      </w:pPr>
      <w:r>
        <w:rPr>
          <w:rFonts w:hint="eastAsia"/>
        </w:rPr>
        <w:t>最高管理者希望公司优秀的企业文化能培养更多的优秀人才，继而以优秀的人才团队推动企业的快速发展，使公司早日成为国际一流公司，早日达到既定目标，实现崇高理想。</w:t>
      </w:r>
    </w:p>
    <w:p>
      <w:pPr>
        <w:pStyle w:val="5"/>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3</w:t>
      </w:r>
      <w:r>
        <w:fldChar w:fldCharType="end"/>
      </w:r>
      <w:r>
        <w:rPr>
          <w:rFonts w:hint="eastAsia"/>
        </w:rPr>
        <w:t xml:space="preserve"> 企业文化宣传一览表</w:t>
      </w:r>
    </w:p>
    <w:tbl>
      <w:tblPr>
        <w:tblStyle w:val="12"/>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5"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w:t>
            </w:r>
          </w:p>
        </w:tc>
        <w:tc>
          <w:tcPr>
            <w:tcW w:w="1840" w:type="dxa"/>
            <w:tcBorders>
              <w:top w:val="single" w:color="000000" w:sz="4" w:space="0"/>
              <w:left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通讯平台、微信公众平台、年会、培训、优秀文化案例等</w:t>
            </w:r>
          </w:p>
        </w:tc>
        <w:tc>
          <w:tcPr>
            <w:tcW w:w="2269" w:type="dxa"/>
            <w:tcBorders>
              <w:top w:val="single" w:color="000000" w:sz="4" w:space="0"/>
              <w:left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顾客</w:t>
            </w:r>
          </w:p>
        </w:tc>
        <w:tc>
          <w:tcPr>
            <w:tcW w:w="1840" w:type="dxa"/>
            <w:tcBorders>
              <w:top w:val="single" w:color="000000" w:sz="4" w:space="0"/>
              <w:left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rPr>
                <w:rFonts w:asciiTheme="minorEastAsia" w:hAnsiTheme="minorEastAsia" w:eastAsiaTheme="minorEastAsia" w:cstheme="minorEastAsia"/>
                <w:sz w:val="24"/>
                <w:szCs w:val="24"/>
              </w:rPr>
            </w:pP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微信公众号、供应商会等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5"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rPr>
                <w:rFonts w:asciiTheme="minorEastAsia" w:hAnsiTheme="minorEastAsia" w:eastAsiaTheme="minorEastAsia" w:cstheme="minorEastAsia"/>
                <w:sz w:val="24"/>
                <w:szCs w:val="24"/>
              </w:rPr>
            </w:pP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股东</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微信公众号、股东会等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企业使命、企业愿景、智能坐便器文化</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投资交流活动、文化之旅</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股东认可、投资交流频次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rPr>
                <w:rFonts w:asciiTheme="minorEastAsia" w:hAnsiTheme="minorEastAsia" w:eastAsiaTheme="minorEastAsia" w:cstheme="minorEastAsia"/>
                <w:sz w:val="24"/>
                <w:szCs w:val="24"/>
              </w:rPr>
            </w:pPr>
          </w:p>
        </w:tc>
        <w:tc>
          <w:tcPr>
            <w:tcW w:w="524" w:type="dxa"/>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提升社会知名度、交流接待数量</w:t>
            </w:r>
          </w:p>
        </w:tc>
      </w:tr>
    </w:tbl>
    <w:p>
      <w:pPr>
        <w:pStyle w:val="5"/>
        <w:spacing w:before="166" w:line="386" w:lineRule="auto"/>
        <w:ind w:right="359" w:firstLine="480"/>
        <w:jc w:val="both"/>
      </w:pPr>
      <w:r>
        <w:rPr>
          <w:rFonts w:hint="eastAsia"/>
        </w:rPr>
        <w:t>公司将“企业文化培训”作为新员工入职学习内容之一，每年由高层领导亲自讲解和引导；公司通过宣传海报、微信公众号、企业文化手册、丰富多彩的企业文化活动等方式，将核心文化传播至各层次、各部门，营造浓郁的企业文化氛围。</w:t>
      </w:r>
    </w:p>
    <w:p>
      <w:pPr>
        <w:pStyle w:val="5"/>
        <w:spacing w:before="166" w:line="386" w:lineRule="auto"/>
        <w:ind w:right="359" w:firstLine="480"/>
        <w:jc w:val="both"/>
      </w:pPr>
      <w:r>
        <w:rPr>
          <w:rFonts w:hint="eastAsia"/>
        </w:rPr>
        <w:t>b</w:t>
      </w:r>
      <w:r>
        <w:t>）</w:t>
      </w:r>
      <w:r>
        <w:rPr>
          <w:rFonts w:hint="eastAsia"/>
        </w:rPr>
        <w:t>与相关方进行沟通，激励员工以强化组织的方向和重点</w:t>
      </w:r>
    </w:p>
    <w:p>
      <w:pPr>
        <w:pStyle w:val="5"/>
        <w:spacing w:before="166" w:line="386" w:lineRule="auto"/>
        <w:ind w:right="359" w:firstLine="480"/>
        <w:jc w:val="both"/>
      </w:pPr>
      <w:r>
        <w:rPr>
          <w:rFonts w:hint="eastAsia"/>
        </w:rPr>
        <w:t>1）加强与员工及其他相关方的沟通</w:t>
      </w:r>
    </w:p>
    <w:p>
      <w:pPr>
        <w:pStyle w:val="5"/>
        <w:spacing w:before="166" w:line="386" w:lineRule="auto"/>
        <w:ind w:right="359" w:firstLine="480"/>
        <w:jc w:val="both"/>
      </w:pPr>
      <w:r>
        <w:rPr>
          <w:rFonts w:hint="eastAsia"/>
        </w:rPr>
        <w:t>公司通过多种方式向股东、员工、客户、供应商等利益相关方传播企业文化，激励企业全员为实现公司战略目标而努力，也促使相关方充分理解公司经营理念。</w:t>
      </w:r>
    </w:p>
    <w:p>
      <w:pPr>
        <w:pStyle w:val="5"/>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4</w:t>
      </w:r>
      <w:r>
        <w:fldChar w:fldCharType="end"/>
      </w:r>
      <w:r>
        <w:rPr>
          <w:rFonts w:hint="eastAsia"/>
        </w:rPr>
        <w:t xml:space="preserve"> 公司与相关方双向沟通方式</w:t>
      </w:r>
    </w:p>
    <w:tbl>
      <w:tblPr>
        <w:tblStyle w:val="1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1" w:type="dxa"/>
            <w:tcBorders>
              <w:bottom w:val="single" w:color="auto" w:sz="4" w:space="0"/>
            </w:tcBorders>
            <w:shd w:val="clear" w:color="auto" w:fill="548DD4" w:themeFill="text2" w:themeFillTint="99"/>
            <w:vAlign w:val="center"/>
          </w:tcPr>
          <w:p>
            <w:pPr>
              <w:jc w:val="center"/>
              <w:rPr>
                <w:rFonts w:ascii="微软雅黑" w:hAnsi="微软雅黑" w:eastAsia="微软雅黑" w:cs="Calibri"/>
                <w:b/>
                <w:szCs w:val="21"/>
              </w:rPr>
            </w:pPr>
            <w:r>
              <w:rPr>
                <w:rFonts w:hint="eastAsia" w:ascii="微软雅黑" w:hAnsi="微软雅黑" w:eastAsia="微软雅黑" w:cs="Calibri"/>
                <w:b/>
                <w:szCs w:val="21"/>
              </w:rPr>
              <w:t>对象</w:t>
            </w:r>
          </w:p>
        </w:tc>
        <w:tc>
          <w:tcPr>
            <w:tcW w:w="7902" w:type="dxa"/>
            <w:tcBorders>
              <w:bottom w:val="single" w:color="auto" w:sz="4" w:space="0"/>
            </w:tcBorders>
            <w:shd w:val="clear" w:color="auto" w:fill="548DD4" w:themeFill="text2" w:themeFillTint="99"/>
            <w:vAlign w:val="center"/>
          </w:tcPr>
          <w:p>
            <w:pPr>
              <w:jc w:val="center"/>
              <w:rPr>
                <w:rFonts w:ascii="微软雅黑" w:hAnsi="微软雅黑" w:eastAsia="微软雅黑" w:cs="Calibri"/>
                <w:b/>
                <w:szCs w:val="21"/>
              </w:rPr>
            </w:pPr>
            <w:r>
              <w:rPr>
                <w:rFonts w:hint="eastAsia" w:ascii="微软雅黑" w:hAnsi="微软雅黑" w:eastAsia="微软雅黑" w:cs="Calibri"/>
                <w:b/>
                <w:szCs w:val="21"/>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restart"/>
            <w:shd w:val="clear" w:color="auto" w:fill="auto"/>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w:t>
            </w:r>
          </w:p>
        </w:tc>
        <w:tc>
          <w:tcPr>
            <w:tcW w:w="7902"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公司网站、《员工手册》、企业宣传册、企业文化墙、公司展厅、宣传片、宣传窗等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auto"/>
          </w:tcPr>
          <w:p>
            <w:pPr>
              <w:rPr>
                <w:rFonts w:asciiTheme="minorEastAsia" w:hAnsiTheme="minorEastAsia" w:eastAsiaTheme="minorEastAsia" w:cstheme="minorEastAsia"/>
                <w:sz w:val="24"/>
                <w:szCs w:val="24"/>
              </w:rPr>
            </w:pPr>
          </w:p>
        </w:tc>
        <w:tc>
          <w:tcPr>
            <w:tcW w:w="7902"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电话、QQ、微信平台、电子邮件系统等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auto"/>
          </w:tcPr>
          <w:p>
            <w:pPr>
              <w:rPr>
                <w:rFonts w:asciiTheme="minorEastAsia" w:hAnsiTheme="minorEastAsia" w:eastAsiaTheme="minorEastAsia" w:cstheme="minorEastAsia"/>
                <w:sz w:val="24"/>
                <w:szCs w:val="24"/>
              </w:rPr>
            </w:pPr>
          </w:p>
        </w:tc>
        <w:tc>
          <w:tcPr>
            <w:tcW w:w="7902"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新员工入职培训、企业文化培训、素质拓展训练、专业培训、技能培训等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auto"/>
          </w:tcPr>
          <w:p>
            <w:pPr>
              <w:rPr>
                <w:rFonts w:asciiTheme="minorEastAsia" w:hAnsiTheme="minorEastAsia" w:eastAsiaTheme="minorEastAsia" w:cstheme="minorEastAsia"/>
                <w:sz w:val="24"/>
                <w:szCs w:val="24"/>
              </w:rPr>
            </w:pPr>
          </w:p>
        </w:tc>
        <w:tc>
          <w:tcPr>
            <w:tcW w:w="7902"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职工活动、联谊活动、文艺活动、旅游活动、公益活动等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auto"/>
          </w:tcPr>
          <w:p>
            <w:pPr>
              <w:rPr>
                <w:rFonts w:asciiTheme="minorEastAsia" w:hAnsiTheme="minorEastAsia" w:eastAsiaTheme="minorEastAsia" w:cstheme="minorEastAsia"/>
                <w:sz w:val="24"/>
                <w:szCs w:val="24"/>
              </w:rPr>
            </w:pPr>
          </w:p>
        </w:tc>
        <w:tc>
          <w:tcPr>
            <w:tcW w:w="7902"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周例会、生产例会、营销例会、月度总结大会、年度总结大会等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auto"/>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顾客</w:t>
            </w:r>
          </w:p>
        </w:tc>
        <w:tc>
          <w:tcPr>
            <w:tcW w:w="7902"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网站、展会沟通、企业宣传册、广告宣传、传真、电子邮件、新闻媒体、行业杂志、客户服务热线、、现场走访等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auto"/>
            <w:vAlign w:val="center"/>
          </w:tcPr>
          <w:p>
            <w:pPr>
              <w:adjustRightInd w:val="0"/>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股东</w:t>
            </w:r>
          </w:p>
        </w:tc>
        <w:tc>
          <w:tcPr>
            <w:tcW w:w="7902"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股东大会、网站、报刊、各种财务报表、审计报告、新闻媒体宣传、个别沟通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auto"/>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p>
        </w:tc>
        <w:tc>
          <w:tcPr>
            <w:tcW w:w="7902"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供应商实地考察、供应商评选、供应商会议、电话沟通、电子邮件等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auto"/>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合作伙伴 </w:t>
            </w:r>
          </w:p>
        </w:tc>
        <w:tc>
          <w:tcPr>
            <w:tcW w:w="7902"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网站、新闻媒体、行业协会活动、项目开发等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auto"/>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公众</w:t>
            </w:r>
          </w:p>
        </w:tc>
        <w:tc>
          <w:tcPr>
            <w:tcW w:w="7902"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工作汇报、项目评审、参观指导、接待相关人员来访、参加公益活动、慈善捐赠等、</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网站、企业刊物、宣传册、宣传片等</w:t>
            </w:r>
          </w:p>
        </w:tc>
      </w:tr>
    </w:tbl>
    <w:p>
      <w:pPr>
        <w:pStyle w:val="5"/>
        <w:spacing w:before="166" w:line="386" w:lineRule="auto"/>
        <w:ind w:right="359" w:firstLine="480"/>
        <w:jc w:val="both"/>
      </w:pPr>
      <w:r>
        <w:rPr>
          <w:rFonts w:hint="eastAsia"/>
        </w:rPr>
        <w:t>2）激励员工以强化组织发展</w:t>
      </w:r>
    </w:p>
    <w:p>
      <w:pPr>
        <w:pStyle w:val="5"/>
        <w:spacing w:before="166" w:line="386" w:lineRule="auto"/>
        <w:ind w:right="359" w:firstLine="480"/>
        <w:jc w:val="both"/>
      </w:pPr>
      <w:r>
        <w:rPr>
          <w:rFonts w:hint="eastAsia"/>
        </w:rPr>
        <w:t>为了激励员工的正确行为，公司从文化、制度和活动多方面进行了激励，鼓励员工的行为符合公司发展方向。</w:t>
      </w:r>
    </w:p>
    <w:p>
      <w:pPr>
        <w:pStyle w:val="5"/>
        <w:spacing w:before="166" w:line="386" w:lineRule="auto"/>
        <w:ind w:right="359" w:firstLine="480"/>
        <w:jc w:val="both"/>
      </w:pPr>
      <w:r>
        <w:rPr>
          <w:rFonts w:hint="eastAsia"/>
        </w:rPr>
        <w:t>文化激励：以“快乐工作、和谐团队”为宗旨，努力营造以人为本、和谐共事、快乐工作、激情创业、健康生活的氛围，真正形成团结和谐谋发展、众志成城创大业的合力，实现企业和员工的文明、和谐、科学、有效的发展。正确、扎实、快速、有效是公司的工作风格，在保证事情做对的前提下，实现行事高品质、高效率、低成本，那最后的高效益就会成为必然。</w:t>
      </w:r>
    </w:p>
    <w:p>
      <w:pPr>
        <w:pStyle w:val="5"/>
        <w:spacing w:before="166" w:line="386" w:lineRule="auto"/>
        <w:ind w:right="359" w:firstLine="480"/>
        <w:jc w:val="both"/>
      </w:pPr>
      <w:r>
        <w:rPr>
          <w:rFonts w:hint="eastAsia"/>
        </w:rPr>
        <w:t>制度激励：公司制定了员工手册，规范员工行为，并通过制定各种奖励制度，鼓励员工表现公司期待的行为。如供应商管理制度、廉政文化建设制度等。</w:t>
      </w:r>
    </w:p>
    <w:p>
      <w:pPr>
        <w:pStyle w:val="5"/>
        <w:spacing w:before="166" w:line="386" w:lineRule="auto"/>
        <w:ind w:right="359" w:firstLine="480"/>
        <w:jc w:val="both"/>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pPr>
        <w:pStyle w:val="5"/>
        <w:spacing w:before="166" w:line="386" w:lineRule="auto"/>
        <w:ind w:right="359" w:firstLine="480"/>
        <w:jc w:val="both"/>
      </w:pPr>
      <w:r>
        <w:rPr>
          <w:rFonts w:hint="eastAsia"/>
        </w:rPr>
        <w:t>c）营造良好的内部经营环境</w:t>
      </w:r>
    </w:p>
    <w:p>
      <w:pPr>
        <w:pStyle w:val="5"/>
        <w:spacing w:before="166" w:line="386" w:lineRule="auto"/>
        <w:ind w:right="359" w:firstLine="480"/>
        <w:jc w:val="both"/>
      </w:pPr>
      <w:r>
        <w:rPr>
          <w:rFonts w:hint="eastAsia"/>
        </w:rPr>
        <w:t>1）创造诚信守法的环境</w:t>
      </w:r>
    </w:p>
    <w:p>
      <w:pPr>
        <w:pStyle w:val="5"/>
        <w:spacing w:before="166" w:line="386" w:lineRule="auto"/>
        <w:ind w:right="359" w:firstLine="480"/>
        <w:jc w:val="both"/>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外多家知名品牌客户验厂，不断完善诚信守法体系。</w:t>
      </w:r>
    </w:p>
    <w:p>
      <w:pPr>
        <w:pStyle w:val="5"/>
        <w:spacing w:before="166" w:line="386" w:lineRule="auto"/>
        <w:ind w:right="359" w:firstLine="480"/>
        <w:jc w:val="both"/>
      </w:pPr>
      <w:r>
        <w:rPr>
          <w:rFonts w:hint="eastAsia"/>
        </w:rPr>
        <w:t>公司通过各种方式对合作方实施影响，例如，公司以合同的形式规范供应商行为，通过对供应商的绩效评价，认定其供应资格。</w:t>
      </w:r>
    </w:p>
    <w:p>
      <w:pPr>
        <w:pStyle w:val="5"/>
        <w:spacing w:before="166" w:line="386" w:lineRule="auto"/>
        <w:ind w:right="359" w:firstLine="480"/>
        <w:jc w:val="both"/>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pPr>
        <w:pStyle w:val="5"/>
        <w:spacing w:before="166" w:line="386" w:lineRule="auto"/>
        <w:ind w:right="359" w:firstLine="480"/>
        <w:jc w:val="both"/>
      </w:pPr>
      <w:r>
        <w:rPr>
          <w:rFonts w:hint="eastAsia"/>
        </w:rPr>
        <w:t>2）</w:t>
      </w:r>
      <w:r>
        <w:t>创建有利</w:t>
      </w:r>
      <w:r>
        <w:rPr>
          <w:rFonts w:hint="eastAsia"/>
        </w:rPr>
        <w:t>于改进和</w:t>
      </w:r>
      <w:r>
        <w:t>创新的环境</w:t>
      </w:r>
    </w:p>
    <w:p>
      <w:pPr>
        <w:pStyle w:val="5"/>
        <w:spacing w:before="166" w:line="386" w:lineRule="auto"/>
        <w:ind w:right="359" w:firstLine="480"/>
        <w:jc w:val="both"/>
      </w:pPr>
      <w:r>
        <w:rPr>
          <w:rFonts w:hint="eastAsia"/>
        </w:rPr>
        <w:t>公司</w:t>
      </w:r>
      <w:r>
        <w:t>的快速发展离不开</w:t>
      </w:r>
      <w:r>
        <w:rPr>
          <w:rFonts w:hint="eastAsia"/>
        </w:rPr>
        <w:t>最高管理者</w:t>
      </w:r>
      <w:r>
        <w:t>的</w:t>
      </w:r>
      <w:r>
        <w:rPr>
          <w:rFonts w:hint="eastAsia"/>
        </w:rPr>
        <w:t>不断创新的思维和实践，正是由于公司的发展动力来自于源源不断的创新，使得创新意识已植根于企业文化，并不断促进公司的发展。</w:t>
      </w:r>
    </w:p>
    <w:p>
      <w:pPr>
        <w:pStyle w:val="5"/>
        <w:spacing w:before="166" w:line="386" w:lineRule="auto"/>
        <w:ind w:right="359" w:firstLine="480"/>
        <w:jc w:val="both"/>
      </w:pPr>
      <w:r>
        <w:rPr>
          <w:rFonts w:hint="eastAsia"/>
        </w:rPr>
        <w:t>科技创新环境的营造</w:t>
      </w:r>
    </w:p>
    <w:p>
      <w:pPr>
        <w:pStyle w:val="5"/>
        <w:spacing w:before="166" w:line="386" w:lineRule="auto"/>
        <w:ind w:right="359" w:firstLine="480"/>
        <w:jc w:val="both"/>
      </w:pPr>
      <w:r>
        <w:rPr>
          <w:rFonts w:hint="eastAsia"/>
        </w:rPr>
        <w:t>公司在多年的经营过程中不断契合消费者需求，追求产品安全时尚、新颖等方面的创新，追求产品高标准高质量。公司新产品开发以市场需求为坐标，了解市场的需求和用户的心理，以此研发新的产品，开拓新的消费需求领域。</w:t>
      </w:r>
    </w:p>
    <w:p>
      <w:pPr>
        <w:pStyle w:val="5"/>
        <w:spacing w:before="166" w:line="386" w:lineRule="auto"/>
        <w:ind w:right="359" w:firstLine="480"/>
        <w:jc w:val="both"/>
      </w:pPr>
      <w:r>
        <w:rPr>
          <w:rFonts w:hint="eastAsia"/>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pPr>
        <w:pStyle w:val="5"/>
        <w:spacing w:before="166" w:line="386" w:lineRule="auto"/>
        <w:ind w:right="359" w:firstLine="480"/>
        <w:jc w:val="both"/>
      </w:pPr>
      <w:r>
        <w:rPr>
          <w:rFonts w:hint="eastAsia"/>
        </w:rPr>
        <w:t>在人员激励上，为鼓励研发人员的创造性，企业制订相应的激励措施，对围绕企业生产能力有关产品，新开发研究成功的全新产品，直接给予资金奖励。同时，将产品的新创意、新技艺等方面列入研发中心人员月绩效考核的指标内容，极大地调动了研发人员致力新产品开发和研制的工作热情。</w:t>
      </w:r>
    </w:p>
    <w:p>
      <w:pPr>
        <w:pStyle w:val="5"/>
        <w:spacing w:before="166" w:line="386" w:lineRule="auto"/>
        <w:ind w:right="359" w:firstLine="480"/>
        <w:jc w:val="both"/>
      </w:pPr>
      <w:r>
        <w:rPr>
          <w:rFonts w:hint="eastAsia"/>
        </w:rPr>
        <w:t>管理创新环境的营造</w:t>
      </w:r>
    </w:p>
    <w:p>
      <w:pPr>
        <w:pStyle w:val="5"/>
        <w:spacing w:before="166" w:line="386" w:lineRule="auto"/>
        <w:ind w:right="359" w:firstLine="480"/>
        <w:jc w:val="both"/>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pPr>
        <w:pStyle w:val="5"/>
        <w:spacing w:before="166" w:line="386" w:lineRule="auto"/>
        <w:ind w:right="359" w:firstLine="480"/>
        <w:jc w:val="both"/>
      </w:pPr>
      <w:r>
        <w:rPr>
          <w:rFonts w:hint="eastAsia"/>
        </w:rPr>
        <w:t>企业内部有利于改进和创新环境的建立，使企业产品质量、服务以及内部管理有了新的提高，品牌效益初步显现。</w:t>
      </w:r>
    </w:p>
    <w:p>
      <w:pPr>
        <w:pStyle w:val="5"/>
        <w:spacing w:before="166" w:line="386" w:lineRule="auto"/>
        <w:ind w:right="359" w:firstLine="480"/>
        <w:jc w:val="both"/>
      </w:pPr>
      <w:r>
        <w:rPr>
          <w:rFonts w:hint="eastAsia"/>
        </w:rPr>
        <w:t>3）营造快速反应的环境</w:t>
      </w:r>
    </w:p>
    <w:p>
      <w:pPr>
        <w:pStyle w:val="5"/>
        <w:spacing w:before="166" w:line="386" w:lineRule="auto"/>
        <w:ind w:right="359" w:firstLine="480"/>
        <w:jc w:val="both"/>
      </w:pPr>
      <w:r>
        <w:rPr>
          <w:rFonts w:hint="eastAsia"/>
        </w:rPr>
        <w:t>公司秉持“反应迅速、计划周密、执行有力”的行事理念高效处理各项事务。高层领导以顾客和市场、员工为中心，推行“快速反应”的管理原则，建立快速反应机制。</w:t>
      </w:r>
    </w:p>
    <w:p>
      <w:pPr>
        <w:pStyle w:val="5"/>
        <w:spacing w:before="166" w:line="386" w:lineRule="auto"/>
        <w:ind w:right="359" w:firstLine="480"/>
        <w:jc w:val="both"/>
      </w:pPr>
      <w:r>
        <w:rPr>
          <w:rFonts w:hint="eastAsia"/>
        </w:rPr>
        <w:t>对于内部员工，建立覆盖各种紧急情况的应急预案，并开展应急演练，培育员工的危机处理意识和能力，实现对意外情况的快速处理，例如顾客投诉应急处理预案、火灾、停电等紧急处理预案等。</w:t>
      </w:r>
    </w:p>
    <w:p>
      <w:pPr>
        <w:pStyle w:val="5"/>
        <w:spacing w:before="166" w:line="386" w:lineRule="auto"/>
        <w:ind w:right="359" w:firstLine="480"/>
        <w:jc w:val="both"/>
      </w:pPr>
      <w:r>
        <w:rPr>
          <w:rFonts w:hint="eastAsia"/>
        </w:rPr>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通过</w:t>
      </w:r>
      <w:r>
        <w:rPr>
          <w:rFonts w:hint="eastAsia" w:ascii="Arial" w:hAnsi="Arial"/>
          <w:szCs w:val="22"/>
        </w:rPr>
        <w:t>QC小组、项目攻关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pPr>
        <w:pStyle w:val="5"/>
        <w:spacing w:before="166" w:line="386" w:lineRule="auto"/>
        <w:ind w:right="359" w:firstLine="480"/>
        <w:jc w:val="both"/>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pPr>
        <w:pStyle w:val="5"/>
        <w:spacing w:before="166" w:line="386" w:lineRule="auto"/>
        <w:ind w:right="359" w:firstLine="480"/>
        <w:jc w:val="both"/>
      </w:pPr>
      <w:r>
        <w:rPr>
          <w:rFonts w:hint="eastAsia"/>
        </w:rPr>
        <w:t>4）营造全员学习的环境</w:t>
      </w:r>
    </w:p>
    <w:p>
      <w:pPr>
        <w:pStyle w:val="5"/>
        <w:spacing w:before="166" w:line="386" w:lineRule="auto"/>
        <w:ind w:right="359" w:firstLine="480"/>
        <w:jc w:val="both"/>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pPr>
        <w:pStyle w:val="5"/>
        <w:spacing w:before="166" w:line="386" w:lineRule="auto"/>
        <w:ind w:right="359" w:firstLine="480"/>
        <w:jc w:val="both"/>
      </w:pPr>
      <w:r>
        <w:rPr>
          <w:rFonts w:hint="eastAsia"/>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pPr>
        <w:pStyle w:val="5"/>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5</w:t>
      </w:r>
      <w:r>
        <w:fldChar w:fldCharType="end"/>
      </w:r>
      <w:r>
        <w:rPr>
          <w:rFonts w:hint="eastAsia"/>
        </w:rPr>
        <w:t xml:space="preserve"> </w:t>
      </w:r>
      <w:r>
        <w:t>培训层级体系表</w:t>
      </w:r>
    </w:p>
    <w:tbl>
      <w:tblPr>
        <w:tblStyle w:val="1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76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77" w:type="dxa"/>
            <w:tcBorders>
              <w:bottom w:val="single" w:color="auto" w:sz="4" w:space="0"/>
            </w:tcBorders>
            <w:shd w:val="clear" w:color="auto" w:fill="548DD4" w:themeFill="text2" w:themeFillTint="99"/>
            <w:vAlign w:val="center"/>
          </w:tcPr>
          <w:p>
            <w:pPr>
              <w:jc w:val="center"/>
              <w:rPr>
                <w:rFonts w:ascii="微软雅黑" w:hAnsi="微软雅黑" w:eastAsia="微软雅黑"/>
                <w:b/>
                <w:szCs w:val="18"/>
              </w:rPr>
            </w:pPr>
            <w:r>
              <w:rPr>
                <w:rFonts w:ascii="微软雅黑" w:hAnsi="微软雅黑" w:eastAsia="微软雅黑"/>
                <w:b/>
                <w:szCs w:val="18"/>
              </w:rPr>
              <w:t>培训级别</w:t>
            </w:r>
          </w:p>
        </w:tc>
        <w:tc>
          <w:tcPr>
            <w:tcW w:w="4762" w:type="dxa"/>
            <w:tcBorders>
              <w:bottom w:val="single" w:color="auto" w:sz="4" w:space="0"/>
            </w:tcBorders>
            <w:shd w:val="clear" w:color="auto" w:fill="548DD4" w:themeFill="text2" w:themeFillTint="99"/>
            <w:vAlign w:val="center"/>
          </w:tcPr>
          <w:p>
            <w:pPr>
              <w:jc w:val="center"/>
              <w:rPr>
                <w:rFonts w:ascii="微软雅黑" w:hAnsi="微软雅黑" w:eastAsia="微软雅黑"/>
                <w:b/>
                <w:szCs w:val="18"/>
              </w:rPr>
            </w:pPr>
            <w:r>
              <w:rPr>
                <w:rFonts w:ascii="微软雅黑" w:hAnsi="微软雅黑" w:eastAsia="微软雅黑"/>
                <w:b/>
                <w:szCs w:val="18"/>
              </w:rPr>
              <w:t>主要培训内容</w:t>
            </w:r>
          </w:p>
        </w:tc>
        <w:tc>
          <w:tcPr>
            <w:tcW w:w="2945" w:type="dxa"/>
            <w:tcBorders>
              <w:bottom w:val="single" w:color="auto" w:sz="4" w:space="0"/>
            </w:tcBorders>
            <w:shd w:val="clear" w:color="auto" w:fill="548DD4" w:themeFill="text2" w:themeFillTint="99"/>
            <w:vAlign w:val="center"/>
          </w:tcPr>
          <w:p>
            <w:pPr>
              <w:jc w:val="center"/>
              <w:rPr>
                <w:rFonts w:ascii="微软雅黑" w:hAnsi="微软雅黑" w:eastAsia="微软雅黑"/>
                <w:b/>
                <w:szCs w:val="18"/>
              </w:rPr>
            </w:pPr>
            <w:r>
              <w:rPr>
                <w:rFonts w:ascii="微软雅黑" w:hAnsi="微软雅黑" w:eastAsia="微软雅黑"/>
                <w:b/>
                <w:szCs w:val="18"/>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277" w:type="dxa"/>
            <w:shd w:val="clear" w:color="auto" w:fill="auto"/>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高管人员</w:t>
            </w:r>
          </w:p>
        </w:tc>
        <w:tc>
          <w:tcPr>
            <w:tcW w:w="4762"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侧重于观念、理念方面，此外还有市场经济所要求的系统管理理论和技能，如管理学、组织行为学、市场营销、企业经营战略、企业经营过程控制、领导科学与艺术等。</w:t>
            </w:r>
          </w:p>
        </w:tc>
        <w:tc>
          <w:tcPr>
            <w:tcW w:w="2945"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以外派考察学习和培训为主。诸如，高级论坛、赴外地考察、参加行业协会活动等等。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77" w:type="dxa"/>
            <w:shd w:val="clear" w:color="auto" w:fill="auto"/>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中层人员</w:t>
            </w:r>
          </w:p>
        </w:tc>
        <w:tc>
          <w:tcPr>
            <w:tcW w:w="4762"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管理基本知识与技能：管理学、组织行为学、人力资源开发与管理、市场学、领导科学与艺术等课程。</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业务知识与技能：负责的业务领域如技术、销售等领域的知识与技能。</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工作改进：工作分配、工作方法的改进、工作流程的改进。</w:t>
            </w:r>
          </w:p>
        </w:tc>
        <w:tc>
          <w:tcPr>
            <w:tcW w:w="2945"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以公司内训为主，外训为辅。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77" w:type="dxa"/>
            <w:shd w:val="clear" w:color="auto" w:fill="auto"/>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基层人员</w:t>
            </w:r>
          </w:p>
        </w:tc>
        <w:tc>
          <w:tcPr>
            <w:tcW w:w="4762"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针对在岗员工岗位职责、专业技能、操作规程、业务流程等进行反复强化培训，以使员工在充分掌握理论的基础上，能自由地应用、发挥、提高。</w:t>
            </w:r>
          </w:p>
        </w:tc>
        <w:tc>
          <w:tcPr>
            <w:tcW w:w="2945" w:type="dxa"/>
            <w:shd w:val="clear" w:color="auto" w:fill="auto"/>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参考中层管理人员。</w:t>
            </w:r>
          </w:p>
        </w:tc>
      </w:tr>
    </w:tbl>
    <w:p>
      <w:pPr>
        <w:pStyle w:val="5"/>
        <w:spacing w:before="166" w:line="386" w:lineRule="auto"/>
        <w:ind w:right="359" w:firstLine="480"/>
        <w:jc w:val="both"/>
      </w:pPr>
      <w:r>
        <w:rPr>
          <w:rFonts w:hint="eastAsia"/>
        </w:rPr>
        <w:t>此外，公司还注重员工自我学习氛围的构建，强调员工在工作之余不断自我学习的重要性，以此培育“与时俱进”的学习文化。</w:t>
      </w:r>
    </w:p>
    <w:p>
      <w:pPr>
        <w:pStyle w:val="5"/>
        <w:spacing w:before="166" w:line="386" w:lineRule="auto"/>
        <w:ind w:right="359" w:firstLine="480"/>
        <w:jc w:val="both"/>
      </w:pPr>
      <w:r>
        <w:rPr>
          <w:rFonts w:hint="eastAsia"/>
        </w:rPr>
        <w:t>d）履行确保组织所提供产品和服务质量安全的责任</w:t>
      </w:r>
    </w:p>
    <w:p>
      <w:pPr>
        <w:pStyle w:val="5"/>
        <w:spacing w:before="166" w:line="386" w:lineRule="auto"/>
        <w:ind w:right="359" w:firstLine="480"/>
        <w:jc w:val="both"/>
      </w:pPr>
      <w:r>
        <w:rPr>
          <w:rFonts w:hint="eastAsia"/>
        </w:rPr>
        <w:t>产品品质、技术创新有着同等重要的位置，追求卓越的产品品质和领先的研发和制造技术是一条漫长的道路。公司在坚持不懈中，高层领导始终坚持完善服务体系，努力提高产品品质，以市场规律为依据立足市场，在质和量的矛盾面前，确保产品质量再扩大产量、规模，以品质取胜。</w:t>
      </w:r>
    </w:p>
    <w:p>
      <w:pPr>
        <w:pStyle w:val="5"/>
        <w:spacing w:before="166" w:line="386" w:lineRule="auto"/>
        <w:ind w:right="359" w:firstLine="480"/>
        <w:jc w:val="both"/>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pPr>
        <w:pStyle w:val="5"/>
        <w:spacing w:before="166" w:line="386" w:lineRule="auto"/>
        <w:ind w:right="359" w:firstLine="480"/>
        <w:jc w:val="both"/>
      </w:pPr>
      <w:r>
        <w:rPr>
          <w:rFonts w:hint="eastAsia"/>
        </w:rPr>
        <w:t>公司内部导入并运行ISO9001：2015质量管理体系，以质取胜，以创新拓市场，成为行业之标杆。在履行确保组织所提供产品和服务质量安全的责任方面，公司在原料采购上对各原材料实施订单协议收购，强化对采购原材料的检验及质量全过程控制。</w:t>
      </w:r>
    </w:p>
    <w:p>
      <w:pPr>
        <w:pStyle w:val="5"/>
        <w:spacing w:before="166" w:line="386" w:lineRule="auto"/>
        <w:ind w:right="359" w:firstLine="480"/>
        <w:jc w:val="both"/>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pPr>
        <w:pStyle w:val="5"/>
        <w:spacing w:before="166" w:line="386" w:lineRule="auto"/>
        <w:ind w:right="359" w:firstLine="480"/>
        <w:jc w:val="both"/>
      </w:pPr>
      <w:r>
        <w:rPr>
          <w:rFonts w:hint="eastAsia"/>
        </w:rPr>
        <w:t>e）推进品牌建设，提高产品质量和服务水平</w:t>
      </w:r>
    </w:p>
    <w:p>
      <w:pPr>
        <w:pStyle w:val="5"/>
        <w:spacing w:before="166" w:line="386" w:lineRule="auto"/>
        <w:ind w:right="359" w:firstLine="480"/>
        <w:jc w:val="both"/>
      </w:pPr>
      <w:r>
        <w:rPr>
          <w:rFonts w:hint="eastAsia"/>
        </w:rPr>
        <w:t>为推进品牌建设，公司依据发展战略目标，制定了相应的品牌发展规划，通过积极参与行业协会活动、主导行业标准制定、加大技术创新投入、完善渠道建设及售后服务等方式不断提高产品质量和服务水平。</w:t>
      </w:r>
    </w:p>
    <w:p>
      <w:pPr>
        <w:pStyle w:val="5"/>
        <w:spacing w:before="166" w:line="386" w:lineRule="auto"/>
        <w:ind w:right="359" w:firstLine="480"/>
        <w:jc w:val="both"/>
      </w:pPr>
      <w:r>
        <w:rPr>
          <w:rFonts w:hint="eastAsia"/>
        </w:rPr>
        <w:t>以品牌为基础，推进文化</w:t>
      </w:r>
      <w:r>
        <w:rPr>
          <w:rFonts w:hint="eastAsia"/>
          <w:lang w:val="en-US"/>
        </w:rPr>
        <w:t>建设</w:t>
      </w:r>
    </w:p>
    <w:p>
      <w:pPr>
        <w:pStyle w:val="5"/>
        <w:spacing w:before="166" w:line="386" w:lineRule="auto"/>
        <w:ind w:right="359" w:firstLine="480"/>
        <w:jc w:val="both"/>
      </w:pPr>
      <w:r>
        <w:rPr>
          <w:rFonts w:hint="eastAsia"/>
        </w:rPr>
        <w:t>公司成立之初便创建了自己的品牌</w:t>
      </w:r>
      <w:r>
        <w:rPr>
          <w:rFonts w:hint="eastAsia"/>
          <w:lang w:val="en-US"/>
        </w:rPr>
        <w:t>“</w:t>
      </w:r>
      <w:r>
        <w:rPr>
          <w:rFonts w:hint="eastAsia"/>
        </w:rPr>
        <w:t>公司</w:t>
      </w:r>
      <w:r>
        <w:rPr>
          <w:rFonts w:hint="eastAsia"/>
          <w:lang w:val="en-US"/>
        </w:rPr>
        <w:t>”</w:t>
      </w:r>
      <w:r>
        <w:rPr>
          <w:rFonts w:hint="eastAsia"/>
        </w:rPr>
        <w:t>，一直致力于走自主品牌建设之路。公司在品牌建设方面下足了功夫。</w:t>
      </w:r>
    </w:p>
    <w:p>
      <w:pPr>
        <w:pStyle w:val="5"/>
        <w:spacing w:before="166" w:line="386" w:lineRule="auto"/>
        <w:ind w:right="359" w:firstLine="480"/>
        <w:jc w:val="both"/>
      </w:pPr>
      <w:r>
        <w:rPr>
          <w:rFonts w:hint="eastAsia"/>
        </w:rPr>
        <w:t>f）强化风险意识以推动组织持续经营，积极培养组织未来的领导者</w:t>
      </w:r>
    </w:p>
    <w:p>
      <w:pPr>
        <w:pStyle w:val="5"/>
        <w:spacing w:before="166" w:line="386" w:lineRule="auto"/>
        <w:ind w:right="359" w:firstLine="480"/>
        <w:jc w:val="both"/>
      </w:pPr>
      <w:r>
        <w:rPr>
          <w:rFonts w:hint="eastAsia"/>
        </w:rPr>
        <w:t>1）提升风险管理意识，推动组织持续经营</w:t>
      </w:r>
    </w:p>
    <w:p>
      <w:pPr>
        <w:pStyle w:val="5"/>
        <w:spacing w:before="166" w:line="386" w:lineRule="auto"/>
        <w:ind w:right="359" w:firstLine="480"/>
        <w:jc w:val="both"/>
      </w:pPr>
      <w:r>
        <w:rPr>
          <w:rFonts w:hint="eastAsia"/>
        </w:rPr>
        <w:t>公司创立至今，在取得众多成就的同时，不断强化风险意识，推动组织的持续经营。为此，公司经营管理团队严格把控各部门工作中可能存在的风险点，</w:t>
      </w:r>
      <w:r>
        <w:rPr>
          <w:rFonts w:hint="eastAsia" w:ascii="Arial" w:hAnsi="Arial"/>
          <w:color w:val="0D0D0D"/>
        </w:rPr>
        <w:t>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r>
        <w:rPr>
          <w:rFonts w:hint="eastAsia"/>
        </w:rPr>
        <w:t>。</w:t>
      </w:r>
    </w:p>
    <w:p>
      <w:pPr>
        <w:pStyle w:val="5"/>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6</w:t>
      </w:r>
      <w:r>
        <w:fldChar w:fldCharType="end"/>
      </w:r>
      <w:r>
        <w:rPr>
          <w:rFonts w:hint="eastAsia"/>
        </w:rPr>
        <w:t xml:space="preserve"> 公司风险管理所采取的行动示例</w:t>
      </w:r>
    </w:p>
    <w:tbl>
      <w:tblPr>
        <w:tblStyle w:val="12"/>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tcBorders>
              <w:bottom w:val="single" w:color="000000" w:sz="4" w:space="0"/>
            </w:tcBorders>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风险类型</w:t>
            </w:r>
          </w:p>
        </w:tc>
        <w:tc>
          <w:tcPr>
            <w:tcW w:w="1840" w:type="dxa"/>
            <w:tcBorders>
              <w:bottom w:val="single" w:color="000000" w:sz="4" w:space="0"/>
            </w:tcBorders>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可能的负面影响</w:t>
            </w:r>
          </w:p>
        </w:tc>
        <w:tc>
          <w:tcPr>
            <w:tcW w:w="2551" w:type="dxa"/>
            <w:tcBorders>
              <w:bottom w:val="single" w:color="000000" w:sz="4" w:space="0"/>
            </w:tcBorders>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导致风险的主要因素</w:t>
            </w:r>
          </w:p>
        </w:tc>
        <w:tc>
          <w:tcPr>
            <w:tcW w:w="3933" w:type="dxa"/>
            <w:tcBorders>
              <w:bottom w:val="single" w:color="000000" w:sz="4" w:space="0"/>
            </w:tcBorders>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风险控制措施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经营风险</w:t>
            </w:r>
          </w:p>
        </w:tc>
        <w:tc>
          <w:tcPr>
            <w:tcW w:w="1840"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经营决策失误导致公司经营问题</w:t>
            </w:r>
          </w:p>
        </w:tc>
        <w:tc>
          <w:tcPr>
            <w:tcW w:w="2551"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产业政策变化、市场分析与定位不准、战略决策过程不合理等</w:t>
            </w:r>
          </w:p>
        </w:tc>
        <w:tc>
          <w:tcPr>
            <w:tcW w:w="3933"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成立战略管理小组，完善战略管理流程，运用科学的战略分析与制定工具，确保战略落地；建立战略监控管理机制，定期动态调整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财务风险</w:t>
            </w:r>
          </w:p>
        </w:tc>
        <w:tc>
          <w:tcPr>
            <w:tcW w:w="1840"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财务危机，影响收益，导致经营困境</w:t>
            </w:r>
          </w:p>
        </w:tc>
        <w:tc>
          <w:tcPr>
            <w:tcW w:w="2551"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税收、汇率等财务环境变化，投资、筹资措施不科学，资金回收与管理不善，分配政策不规范</w:t>
            </w:r>
          </w:p>
        </w:tc>
        <w:tc>
          <w:tcPr>
            <w:tcW w:w="3933"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建立完善的财务管理体系，健全全面预算管理、建立财务风险管控机制、不断提升资金周转率和使用效率等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品牌风险</w:t>
            </w:r>
          </w:p>
        </w:tc>
        <w:tc>
          <w:tcPr>
            <w:tcW w:w="1840"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品牌损害</w:t>
            </w:r>
          </w:p>
        </w:tc>
        <w:tc>
          <w:tcPr>
            <w:tcW w:w="2551"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重大质量事故或因舆情监控管理不当导致</w:t>
            </w:r>
          </w:p>
        </w:tc>
        <w:tc>
          <w:tcPr>
            <w:tcW w:w="3933"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持续完善内部品牌管理过程，建立舆情监控系统，维护品牌知名度与美誉度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质量风险</w:t>
            </w:r>
          </w:p>
        </w:tc>
        <w:tc>
          <w:tcPr>
            <w:tcW w:w="1840"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法律追责、产品失信</w:t>
            </w:r>
          </w:p>
        </w:tc>
        <w:tc>
          <w:tcPr>
            <w:tcW w:w="2551"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产品设计考虑不周、生产技术水平不够、生产过程把关不严</w:t>
            </w:r>
          </w:p>
        </w:tc>
        <w:tc>
          <w:tcPr>
            <w:tcW w:w="3933"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建立产品全生命周期管理体系，从设计-采购-生产-物流-营销-售后服务等全过程管控质量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安全风险</w:t>
            </w:r>
          </w:p>
        </w:tc>
        <w:tc>
          <w:tcPr>
            <w:tcW w:w="1840"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员工人身损害，资产损失，法律追责</w:t>
            </w:r>
          </w:p>
        </w:tc>
        <w:tc>
          <w:tcPr>
            <w:tcW w:w="2551"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全员安全意识不足、日常管理不规范、安全防护措施不到位</w:t>
            </w:r>
          </w:p>
        </w:tc>
        <w:tc>
          <w:tcPr>
            <w:tcW w:w="3933"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建立安全生产责任制，强化员工安全意识，定期开展安全生产培训，提升安全管理水平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tcBorders>
              <w:bottom w:val="single" w:color="000000"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环境风险</w:t>
            </w:r>
          </w:p>
        </w:tc>
        <w:tc>
          <w:tcPr>
            <w:tcW w:w="1840" w:type="dxa"/>
            <w:tcBorders>
              <w:bottom w:val="single" w:color="000000"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环境变化影响正常经营</w:t>
            </w:r>
          </w:p>
        </w:tc>
        <w:tc>
          <w:tcPr>
            <w:tcW w:w="2551" w:type="dxa"/>
            <w:tcBorders>
              <w:bottom w:val="single" w:color="000000"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气候恶劣变化、“三废”排放等</w:t>
            </w:r>
          </w:p>
        </w:tc>
        <w:tc>
          <w:tcPr>
            <w:tcW w:w="3933" w:type="dxa"/>
            <w:tcBorders>
              <w:bottom w:val="single" w:color="000000" w:sz="4" w:space="0"/>
            </w:tcBorders>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持续完善环境管理体系，每年开展关键场所环境影响因素的识别、评价和应对工作，建立方针、目标和管理方案等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市场风险</w:t>
            </w:r>
          </w:p>
        </w:tc>
        <w:tc>
          <w:tcPr>
            <w:tcW w:w="1840"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产品市场认可度降低、市场占有率降低</w:t>
            </w:r>
          </w:p>
        </w:tc>
        <w:tc>
          <w:tcPr>
            <w:tcW w:w="2551"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市场客户意见反馈处理不到位，产品售后服务不及时，产品上市管理不足</w:t>
            </w:r>
          </w:p>
        </w:tc>
        <w:tc>
          <w:tcPr>
            <w:tcW w:w="3933"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关注竞争对手、标杆企业的动态，分析市场竞争成功要素，努力形成自身核心竞争优势，把握市场变化，产品研发创新，并通过品牌营销，提升品牌形象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人才风险</w:t>
            </w:r>
          </w:p>
        </w:tc>
        <w:tc>
          <w:tcPr>
            <w:tcW w:w="1840"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人才流失、后备人才不足、关键岗位人才缺失、人员工作积极性不足</w:t>
            </w:r>
          </w:p>
        </w:tc>
        <w:tc>
          <w:tcPr>
            <w:tcW w:w="2551"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人才选拔、培养、配置、激励机制不健全，人才梯队建设不到位</w:t>
            </w:r>
          </w:p>
        </w:tc>
        <w:tc>
          <w:tcPr>
            <w:tcW w:w="3933" w:type="dxa"/>
            <w:shd w:val="clear" w:color="auto" w:fill="auto"/>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注重人员内部培训与外部引进；建立储备干部培养制度，并重点培养、考察，逐步培养企业核心人才及未来领导者</w:t>
            </w:r>
          </w:p>
        </w:tc>
      </w:tr>
    </w:tbl>
    <w:p>
      <w:pPr>
        <w:pStyle w:val="5"/>
        <w:spacing w:before="166" w:line="386" w:lineRule="auto"/>
        <w:ind w:right="359" w:firstLine="480"/>
        <w:jc w:val="both"/>
      </w:pPr>
      <w:r>
        <w:t>2</w:t>
      </w:r>
      <w:r>
        <w:rPr>
          <w:rFonts w:hint="eastAsia"/>
        </w:rPr>
        <w:t>）加强未来管理者培养，建立组织人才梯队</w:t>
      </w:r>
    </w:p>
    <w:p>
      <w:pPr>
        <w:pStyle w:val="5"/>
        <w:spacing w:before="166" w:line="386" w:lineRule="auto"/>
        <w:ind w:right="359" w:firstLine="480"/>
        <w:jc w:val="both"/>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pPr>
        <w:pStyle w:val="5"/>
        <w:spacing w:before="166" w:line="386" w:lineRule="auto"/>
        <w:ind w:right="359" w:firstLine="480"/>
        <w:jc w:val="both"/>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pPr>
        <w:pStyle w:val="5"/>
        <w:spacing w:before="166" w:line="386" w:lineRule="auto"/>
        <w:ind w:right="359" w:firstLine="480"/>
        <w:jc w:val="both"/>
      </w:pPr>
      <w:r>
        <w:rPr>
          <w:rFonts w:hint="eastAsia"/>
        </w:rPr>
        <w:t>g）定期评价组织绩效并不断提升改进</w:t>
      </w:r>
    </w:p>
    <w:p>
      <w:pPr>
        <w:pStyle w:val="5"/>
        <w:spacing w:before="166" w:line="386" w:lineRule="auto"/>
        <w:ind w:right="359" w:firstLine="480"/>
        <w:jc w:val="both"/>
      </w:pPr>
      <w:r>
        <w:t>1</w:t>
      </w:r>
      <w:r>
        <w:rPr>
          <w:rFonts w:hint="eastAsia"/>
        </w:rPr>
        <w:t>）建立科学的绩效评价体系以评价组织绩效</w:t>
      </w:r>
    </w:p>
    <w:p>
      <w:pPr>
        <w:pStyle w:val="5"/>
        <w:spacing w:before="166" w:line="386" w:lineRule="auto"/>
        <w:ind w:right="359" w:firstLine="480"/>
        <w:jc w:val="both"/>
      </w:pPr>
      <w:r>
        <w:rPr>
          <w:rFonts w:hint="eastAsia"/>
        </w:rPr>
        <w:t>高层领导从财务、顾客与市场、内部运营、学习与成长、战略管理等方面定期评估组织的绩效和能力，并适时调整，持续改进，追求卓越绩效，提升组织的应变能力。</w:t>
      </w:r>
    </w:p>
    <w:p>
      <w:pPr>
        <w:pStyle w:val="5"/>
        <w:spacing w:before="166" w:line="386" w:lineRule="auto"/>
        <w:ind w:right="359" w:firstLine="480"/>
        <w:jc w:val="both"/>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pPr>
        <w:pStyle w:val="5"/>
        <w:spacing w:before="166" w:line="386" w:lineRule="auto"/>
        <w:ind w:right="359" w:firstLine="480"/>
        <w:jc w:val="both"/>
      </w:pPr>
      <w:r>
        <w:rPr>
          <w:rFonts w:hint="eastAsia"/>
        </w:rPr>
        <w:t>公司高层领导进行绩效评审，并对未完成的指标加以明确，并进行跟踪，及时掌握指标完成情况，必要时采取适当措施。</w:t>
      </w:r>
    </w:p>
    <w:p>
      <w:pPr>
        <w:pStyle w:val="5"/>
        <w:spacing w:before="166" w:line="386" w:lineRule="auto"/>
        <w:ind w:right="359" w:firstLine="480"/>
        <w:jc w:val="both"/>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pPr>
        <w:pStyle w:val="5"/>
        <w:spacing w:before="166" w:line="386" w:lineRule="auto"/>
        <w:ind w:right="359" w:firstLine="480"/>
        <w:jc w:val="both"/>
      </w:pPr>
      <w:r>
        <w:rPr>
          <w:rFonts w:hint="eastAsia"/>
        </w:rPr>
        <w:t>通过每月的成本、绩效考核、项目的分阶段例会等活动，对公司取得的阶段性经营结果、成功案例进行分析，及时总结，及时推广。</w:t>
      </w:r>
    </w:p>
    <w:p>
      <w:pPr>
        <w:pStyle w:val="5"/>
        <w:spacing w:before="166" w:line="386" w:lineRule="auto"/>
        <w:ind w:right="359" w:firstLine="480"/>
        <w:jc w:val="both"/>
      </w:pPr>
      <w:r>
        <w:rPr>
          <w:rFonts w:hint="eastAsia"/>
        </w:rPr>
        <w:t>公司领导在年度战略讨论期间确立下年度公司层面的总体目标，各个部门根据目标进行分解，制定各自的行动计划。本年度的行动计划由最高管理者签署后实施。每月举办一次业务工作会议，对目标进度进行回顾和比较，由负责人汇报工作情况及下一阶段的工作实施计划。同时，高层领导积极引入先进的管理工具。</w:t>
      </w:r>
    </w:p>
    <w:p>
      <w:pPr>
        <w:pStyle w:val="5"/>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7</w:t>
      </w:r>
      <w:r>
        <w:fldChar w:fldCharType="end"/>
      </w:r>
      <w:r>
        <w:rPr>
          <w:rFonts w:hint="eastAsia"/>
        </w:rPr>
        <w:t xml:space="preserve"> 公司组织绩效评审方式示例</w:t>
      </w:r>
    </w:p>
    <w:tbl>
      <w:tblPr>
        <w:tblStyle w:val="12"/>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271"/>
        <w:gridCol w:w="269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5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jc w:val="center"/>
              <w:rPr>
                <w:rFonts w:ascii="微软雅黑" w:hAnsi="微软雅黑" w:eastAsia="微软雅黑"/>
                <w:b/>
                <w:szCs w:val="18"/>
              </w:rPr>
            </w:pPr>
            <w:r>
              <w:rPr>
                <w:rFonts w:hint="eastAsia" w:ascii="微软雅黑" w:hAnsi="微软雅黑" w:eastAsia="微软雅黑"/>
                <w:b/>
                <w:szCs w:val="18"/>
              </w:rPr>
              <w:t>评价模块</w:t>
            </w:r>
          </w:p>
        </w:tc>
        <w:tc>
          <w:tcPr>
            <w:tcW w:w="3271"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jc w:val="center"/>
              <w:rPr>
                <w:rFonts w:ascii="微软雅黑" w:hAnsi="微软雅黑" w:eastAsia="微软雅黑"/>
                <w:b/>
                <w:szCs w:val="18"/>
              </w:rPr>
            </w:pPr>
            <w:r>
              <w:rPr>
                <w:rFonts w:hint="eastAsia" w:ascii="微软雅黑" w:hAnsi="微软雅黑" w:eastAsia="微软雅黑"/>
                <w:b/>
                <w:szCs w:val="18"/>
              </w:rPr>
              <w:t>评价内容</w:t>
            </w:r>
          </w:p>
        </w:tc>
        <w:tc>
          <w:tcPr>
            <w:tcW w:w="2694"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jc w:val="center"/>
              <w:rPr>
                <w:rFonts w:ascii="微软雅黑" w:hAnsi="微软雅黑" w:eastAsia="微软雅黑"/>
                <w:b/>
                <w:szCs w:val="18"/>
              </w:rPr>
            </w:pPr>
            <w:r>
              <w:rPr>
                <w:rFonts w:hint="eastAsia" w:ascii="微软雅黑" w:hAnsi="微软雅黑" w:eastAsia="微软雅黑"/>
                <w:b/>
                <w:szCs w:val="18"/>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jc w:val="center"/>
              <w:rPr>
                <w:rFonts w:ascii="微软雅黑" w:hAnsi="微软雅黑" w:eastAsia="微软雅黑"/>
                <w:b/>
                <w:szCs w:val="18"/>
              </w:rPr>
            </w:pPr>
            <w:r>
              <w:rPr>
                <w:rFonts w:hint="eastAsia" w:ascii="微软雅黑" w:hAnsi="微软雅黑" w:eastAsia="微软雅黑"/>
                <w:b/>
                <w:szCs w:val="18"/>
              </w:rPr>
              <w:t>评价周期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长短期绩效目标达成情况</w:t>
            </w: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关键绩效指标达成情况</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月度、季度、半年度、年度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cstheme="minorEastAsia"/>
                <w:sz w:val="24"/>
                <w:szCs w:val="24"/>
              </w:rPr>
            </w:pP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战略实施情况、战略调整</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竞争绩效</w:t>
            </w: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主要指标与标杆和竞争对手对比</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体系管理有效性</w:t>
            </w: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各项管理体系运行情况</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运营部等部门内部审核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cstheme="minorEastAsia"/>
                <w:sz w:val="24"/>
                <w:szCs w:val="24"/>
              </w:rPr>
            </w:pP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生产、消防安全及职业健康工作落实情况</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行政部</w:t>
            </w:r>
            <w:r>
              <w:rPr>
                <w:rFonts w:hint="eastAsia" w:asciiTheme="minorEastAsia" w:hAnsiTheme="minorEastAsia" w:eastAsiaTheme="minorEastAsia" w:cstheme="minorEastAsia"/>
                <w:sz w:val="24"/>
                <w:szCs w:val="24"/>
              </w:rPr>
              <w:t>、生产部等相关部门进行评审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社会责任</w:t>
            </w:r>
          </w:p>
        </w:tc>
        <w:tc>
          <w:tcPr>
            <w:tcW w:w="327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公益支持、相关方利益的保护等</w:t>
            </w:r>
          </w:p>
        </w:tc>
        <w:tc>
          <w:tcPr>
            <w:tcW w:w="269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w:t>
            </w:r>
          </w:p>
        </w:tc>
      </w:tr>
    </w:tbl>
    <w:p>
      <w:pPr>
        <w:pStyle w:val="5"/>
        <w:spacing w:before="166" w:line="386" w:lineRule="auto"/>
        <w:ind w:right="359" w:firstLine="480"/>
        <w:jc w:val="both"/>
      </w:pPr>
      <w:r>
        <w:rPr>
          <w:rFonts w:hint="eastAsia"/>
        </w:rPr>
        <w:t>2）确定和落实改进关键业务的优先次序，识别改进与创新机会</w:t>
      </w:r>
    </w:p>
    <w:p>
      <w:pPr>
        <w:pStyle w:val="5"/>
        <w:spacing w:before="166" w:line="386" w:lineRule="auto"/>
        <w:ind w:right="359" w:firstLine="480"/>
        <w:jc w:val="both"/>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pPr>
        <w:pStyle w:val="3"/>
        <w:spacing w:before="143"/>
        <w:ind w:left="0"/>
        <w:rPr>
          <w:b/>
          <w:bCs/>
        </w:rPr>
      </w:pPr>
      <w:bookmarkStart w:id="6" w:name="三、守法合规"/>
      <w:bookmarkEnd w:id="6"/>
      <w:bookmarkStart w:id="7" w:name="_Toc24531707"/>
      <w:r>
        <w:rPr>
          <w:b/>
          <w:bCs/>
        </w:rPr>
        <w:t>三、守法合规</w:t>
      </w:r>
      <w:bookmarkEnd w:id="7"/>
    </w:p>
    <w:p>
      <w:pPr>
        <w:pStyle w:val="5"/>
        <w:spacing w:before="6"/>
        <w:ind w:left="0"/>
        <w:rPr>
          <w:sz w:val="22"/>
        </w:rPr>
      </w:pPr>
    </w:p>
    <w:p>
      <w:pPr>
        <w:pStyle w:val="5"/>
        <w:spacing w:line="388" w:lineRule="auto"/>
        <w:ind w:right="355" w:firstLine="480"/>
        <w:jc w:val="both"/>
      </w:pPr>
      <w:r>
        <w:rPr>
          <w:spacing w:val="-7"/>
        </w:rPr>
        <w:t>公司遵守商业道德和法律规定，建立了完备的合规体系。</w:t>
      </w:r>
      <w:r>
        <w:rPr>
          <w:rFonts w:hint="eastAsia"/>
          <w:spacing w:val="-7"/>
        </w:rPr>
        <w:t>公司</w:t>
      </w:r>
      <w:r>
        <w:rPr>
          <w:spacing w:val="-7"/>
        </w:rPr>
        <w:t>合规体系包</w:t>
      </w:r>
      <w:r>
        <w:rPr>
          <w:spacing w:val="-21"/>
        </w:rPr>
        <w:t>括内部合规制度、内部合规通报体系、内部监督制度和惩戒制度，重点关注环境、</w:t>
      </w:r>
      <w:r>
        <w:t>商业伦理、产品质量和供应链领域。</w:t>
      </w:r>
    </w:p>
    <w:p>
      <w:pPr>
        <w:pStyle w:val="5"/>
        <w:spacing w:line="386" w:lineRule="auto"/>
        <w:ind w:right="360" w:firstLine="480"/>
        <w:jc w:val="both"/>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保密等基本准则。对待同事平等尊重；对待客户以提供高品质的产品和服务为己任；对待供应商诚信公正寻求双赢。此外，公司设立了招标办公室，还要求员工</w:t>
      </w:r>
      <w:r>
        <w:rPr>
          <w:spacing w:val="-7"/>
        </w:rPr>
        <w:t>在与政府等部门交易时必须要做到诚实、准确，严禁以公司或个人的名义向任何</w:t>
      </w:r>
      <w:r>
        <w:t>政府官员、党派等提供或许诺提供资金或财物以试图影响其决定。</w:t>
      </w:r>
    </w:p>
    <w:p>
      <w:pPr>
        <w:pStyle w:val="3"/>
        <w:spacing w:before="143"/>
        <w:ind w:left="0"/>
        <w:rPr>
          <w:b/>
          <w:bCs/>
        </w:rPr>
      </w:pPr>
      <w:bookmarkStart w:id="8" w:name="四、回报股东"/>
      <w:bookmarkEnd w:id="8"/>
      <w:bookmarkStart w:id="9" w:name="_Toc24531708"/>
      <w:r>
        <w:rPr>
          <w:b/>
          <w:bCs/>
        </w:rPr>
        <w:t>四、回报股东</w:t>
      </w:r>
      <w:bookmarkEnd w:id="9"/>
    </w:p>
    <w:p>
      <w:pPr>
        <w:pStyle w:val="5"/>
        <w:ind w:left="0"/>
        <w:rPr>
          <w:sz w:val="22"/>
        </w:rPr>
      </w:pPr>
    </w:p>
    <w:p>
      <w:pPr>
        <w:pStyle w:val="5"/>
        <w:spacing w:line="386" w:lineRule="auto"/>
        <w:ind w:right="240" w:firstLine="480"/>
      </w:pPr>
      <w:r>
        <w:rPr>
          <w:spacing w:val="-6"/>
        </w:rPr>
        <w:t>企业只有不断创造股东价值，才能吸引股东资本，实现稳步发展。有效地提</w:t>
      </w:r>
      <w:r>
        <w:rPr>
          <w:spacing w:val="-7"/>
        </w:rPr>
        <w:t>升股东价值，能增强公司在资本市场的竞争力，同时也有利于公司的持续经营。</w:t>
      </w:r>
      <w:r>
        <w:rPr>
          <w:spacing w:val="-1"/>
        </w:rPr>
        <w:t>企业的决策者应主动协助股东和投资者增加对企业的了解，唤起对企业的兴趣，</w:t>
      </w:r>
      <w:r>
        <w:t>刺激投资者对企业的长期投资，在股东和投资者心目中树立良好的形象。</w:t>
      </w:r>
    </w:p>
    <w:p>
      <w:pPr>
        <w:pStyle w:val="16"/>
        <w:numPr>
          <w:ilvl w:val="1"/>
          <w:numId w:val="3"/>
        </w:numPr>
        <w:tabs>
          <w:tab w:val="left" w:pos="600"/>
        </w:tabs>
        <w:spacing w:before="3"/>
        <w:rPr>
          <w:sz w:val="24"/>
        </w:rPr>
      </w:pPr>
      <w:r>
        <w:rPr>
          <w:sz w:val="24"/>
        </w:rPr>
        <w:t>保障股东权益</w:t>
      </w:r>
    </w:p>
    <w:p>
      <w:pPr>
        <w:pStyle w:val="5"/>
        <w:spacing w:before="189" w:line="386" w:lineRule="auto"/>
        <w:ind w:right="359" w:firstLine="480"/>
        <w:jc w:val="both"/>
      </w:pPr>
      <w:r>
        <w:rPr>
          <w:spacing w:val="-5"/>
        </w:rPr>
        <w:t>公司始终坚持及时向债权人通报与其债权权益相关的重大信息，配合债权人</w:t>
      </w:r>
      <w:r>
        <w:rPr>
          <w:spacing w:val="-8"/>
        </w:rPr>
        <w:t>了解公司有关财务、经营和管理等情况，进一步加强投资者关系管理工作。针对</w:t>
      </w:r>
      <w:r>
        <w:rPr>
          <w:spacing w:val="-6"/>
        </w:rPr>
        <w:t>投资者关系管理中存在的薄弱环节，公司丰富和完善了公司的网站功能，建立网</w:t>
      </w:r>
      <w:r>
        <w:rPr>
          <w:spacing w:val="-20"/>
        </w:rPr>
        <w:t xml:space="preserve">络、电话、邮件等多方位的沟通渠道，通过充分的信息披露加强与投资者的沟通， </w:t>
      </w:r>
      <w:r>
        <w:rPr>
          <w:spacing w:val="-8"/>
        </w:rPr>
        <w:t>促进投资者对公司的了解和认同，树立公司良好的市场形象与投资者营造良好的</w:t>
      </w:r>
      <w:r>
        <w:t>内外沟通运行环境，保证投资者关系的健康、融洽发展。</w:t>
      </w:r>
    </w:p>
    <w:p>
      <w:pPr>
        <w:pStyle w:val="3"/>
        <w:spacing w:before="143"/>
        <w:ind w:left="0"/>
        <w:rPr>
          <w:b/>
          <w:bCs/>
        </w:rPr>
      </w:pPr>
      <w:bookmarkStart w:id="10" w:name="五、服务客户"/>
      <w:bookmarkEnd w:id="10"/>
      <w:bookmarkStart w:id="11" w:name="_Toc24531709"/>
      <w:r>
        <w:rPr>
          <w:b/>
          <w:bCs/>
        </w:rPr>
        <w:t>五、服务客户</w:t>
      </w:r>
      <w:bookmarkEnd w:id="11"/>
    </w:p>
    <w:p>
      <w:pPr>
        <w:pStyle w:val="5"/>
        <w:spacing w:before="7"/>
        <w:ind w:left="0"/>
        <w:rPr>
          <w:sz w:val="22"/>
        </w:rPr>
      </w:pPr>
    </w:p>
    <w:p>
      <w:pPr>
        <w:pStyle w:val="5"/>
        <w:spacing w:line="386" w:lineRule="auto"/>
        <w:ind w:right="355" w:firstLine="480"/>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Pr>
          <w:rFonts w:hint="eastAsia"/>
          <w:spacing w:val="-9"/>
        </w:rPr>
        <w:t>公司</w:t>
      </w:r>
      <w:r>
        <w:rPr>
          <w:spacing w:val="-9"/>
        </w:rPr>
        <w:t>以机构改革为契机，从传统的产品制造商向现代化</w:t>
      </w:r>
      <w:r>
        <w:rPr>
          <w:rFonts w:hint="eastAsia"/>
          <w:spacing w:val="-8"/>
        </w:rPr>
        <w:t>生产</w:t>
      </w:r>
      <w:r>
        <w:rPr>
          <w:spacing w:val="-8"/>
        </w:rPr>
        <w:t>服务商转型，建立以市场为中心、以客户需求为重点的服务理念。机构改革</w:t>
      </w:r>
      <w:r>
        <w:rPr>
          <w:spacing w:val="-21"/>
        </w:rPr>
        <w:t>后，</w:t>
      </w:r>
      <w:r>
        <w:rPr>
          <w:rFonts w:hint="eastAsia"/>
          <w:spacing w:val="-21"/>
          <w:lang w:val="en-US" w:eastAsia="zh-CN"/>
        </w:rPr>
        <w:t>营销部</w:t>
      </w:r>
      <w:r>
        <w:rPr>
          <w:spacing w:val="-21"/>
        </w:rPr>
        <w:t xml:space="preserve">各自针对客户开展服务工作，不断优化服务流程，提升服务理念， </w:t>
      </w:r>
      <w:r>
        <w:rPr>
          <w:spacing w:val="-10"/>
        </w:rPr>
        <w:t>强化服务质量，急客户之所急，想客户之所想，在初期的工作中得到了客户的充</w:t>
      </w:r>
      <w:r>
        <w:t>分肯定。</w:t>
      </w:r>
    </w:p>
    <w:p>
      <w:pPr>
        <w:pStyle w:val="3"/>
        <w:spacing w:before="143"/>
        <w:ind w:left="0"/>
        <w:rPr>
          <w:b/>
          <w:bCs/>
        </w:rPr>
      </w:pPr>
      <w:bookmarkStart w:id="12" w:name="六、造福员工"/>
      <w:bookmarkEnd w:id="12"/>
      <w:bookmarkStart w:id="13" w:name="_Toc24531710"/>
      <w:r>
        <w:rPr>
          <w:b/>
          <w:bCs/>
        </w:rPr>
        <w:t>六、造福员工</w:t>
      </w:r>
      <w:bookmarkEnd w:id="13"/>
    </w:p>
    <w:p>
      <w:pPr>
        <w:pStyle w:val="5"/>
        <w:spacing w:before="7"/>
        <w:ind w:left="0"/>
        <w:rPr>
          <w:sz w:val="22"/>
        </w:rPr>
      </w:pPr>
    </w:p>
    <w:p>
      <w:pPr>
        <w:pStyle w:val="5"/>
        <w:spacing w:line="388" w:lineRule="auto"/>
        <w:ind w:right="359" w:firstLine="480"/>
      </w:pPr>
      <w:r>
        <w:rPr>
          <w:spacing w:val="-10"/>
        </w:rPr>
        <w:t>公司着力构建“以人为本、公平正义、敢于挑战、勇于创新、敢于担当”的</w:t>
      </w:r>
      <w:r>
        <w:t>企业文化，不断提升企业的软实力，让员工有尊严地工作和生活。</w:t>
      </w:r>
    </w:p>
    <w:p>
      <w:pPr>
        <w:pStyle w:val="16"/>
        <w:numPr>
          <w:ilvl w:val="1"/>
          <w:numId w:val="4"/>
        </w:numPr>
        <w:tabs>
          <w:tab w:val="left" w:pos="540"/>
        </w:tabs>
        <w:spacing w:before="166"/>
        <w:jc w:val="both"/>
        <w:rPr>
          <w:sz w:val="24"/>
        </w:rPr>
      </w:pPr>
      <w:r>
        <w:rPr>
          <w:sz w:val="24"/>
        </w:rPr>
        <w:t>确保员工权益</w:t>
      </w:r>
    </w:p>
    <w:p>
      <w:pPr>
        <w:pStyle w:val="5"/>
        <w:spacing w:before="189" w:line="386" w:lineRule="auto"/>
        <w:ind w:right="359" w:firstLine="480"/>
        <w:jc w:val="both"/>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pPr>
        <w:pStyle w:val="5"/>
        <w:spacing w:before="6" w:line="386" w:lineRule="auto"/>
        <w:ind w:right="119" w:firstLine="480"/>
      </w:pPr>
      <w:r>
        <w:rPr>
          <w:spacing w:val="-6"/>
        </w:rPr>
        <w:t>当前制造行业市场不景气，需求总量大幅减少，企业订单大幅下滑，严峻的</w:t>
      </w:r>
      <w:r>
        <w:rPr>
          <w:spacing w:val="-11"/>
        </w:rPr>
        <w:t>经济环境给企业的生存带来了巨大压力，公司现有的人力资源素质和结构与经营</w:t>
      </w:r>
      <w:r>
        <w:rPr>
          <w:spacing w:val="-12"/>
        </w:rPr>
        <w:t>规模失调，更与公司转型新模式的要求不匹配。在此情况下，企业不得不进行结构调整，优化人力资源结构，推行减员增效。并采取多种方式竞争上岗。对于年</w:t>
      </w:r>
      <w:r>
        <w:rPr>
          <w:spacing w:val="-15"/>
        </w:rPr>
        <w:t>纪大的员工企业不是简单的将其推向社会，而是尽最大的能力提高内退标准，企</w:t>
      </w:r>
      <w:r>
        <w:rPr>
          <w:spacing w:val="-19"/>
        </w:rPr>
        <w:t>业内退员工工资标准高于行业和地区的标准，能够满足内退人员的基本生活保障。</w:t>
      </w:r>
      <w:r>
        <w:t>公司在减员增效过程中，未发生任何影响企业稳定、社会稳定的不良事件。</w:t>
      </w:r>
    </w:p>
    <w:p>
      <w:pPr>
        <w:pStyle w:val="16"/>
        <w:numPr>
          <w:ilvl w:val="1"/>
          <w:numId w:val="4"/>
        </w:numPr>
        <w:tabs>
          <w:tab w:val="left" w:pos="540"/>
        </w:tabs>
        <w:rPr>
          <w:sz w:val="24"/>
        </w:rPr>
      </w:pPr>
      <w:r>
        <w:rPr>
          <w:sz w:val="24"/>
        </w:rPr>
        <w:t>重视职业健康安全</w:t>
      </w:r>
    </w:p>
    <w:p>
      <w:pPr>
        <w:pStyle w:val="5"/>
        <w:spacing w:before="190" w:line="386" w:lineRule="auto"/>
        <w:ind w:right="240" w:firstLine="480"/>
      </w:pPr>
      <w:r>
        <w:rPr>
          <w:spacing w:val="-21"/>
        </w:rPr>
        <w:t>公司始终坚</w:t>
      </w:r>
      <w:r>
        <w:rPr>
          <w:spacing w:val="-15"/>
        </w:rPr>
        <w:t>持“</w:t>
      </w:r>
      <w:r>
        <w:rPr>
          <w:rFonts w:hint="eastAsia"/>
          <w:spacing w:val="-15"/>
          <w:lang w:eastAsia="zh-CN"/>
        </w:rPr>
        <w:t>预防污染、绿色排放；遵守法律、安全第一</w:t>
      </w:r>
      <w:r>
        <w:rPr>
          <w:spacing w:val="-15"/>
        </w:rPr>
        <w:t>”的方针</w:t>
      </w:r>
      <w:r>
        <w:rPr>
          <w:rFonts w:hint="eastAsia"/>
          <w:spacing w:val="-15"/>
        </w:rPr>
        <w:t>，</w:t>
      </w:r>
      <w:r>
        <w:rPr>
          <w:spacing w:val="-15"/>
        </w:rPr>
        <w:t xml:space="preserve">以超前预防作为安全工作的核心，以安全生产责任制为重点，以安全评价、考核、责任追究和过程动态控制为手段， </w:t>
      </w:r>
      <w:r>
        <w:rPr>
          <w:spacing w:val="-1"/>
        </w:rPr>
        <w:t>以安全教育培训为保障，以安全生产标准化为主体，建立安全生产的长效机制。</w:t>
      </w:r>
    </w:p>
    <w:p>
      <w:pPr>
        <w:pStyle w:val="5"/>
        <w:spacing w:before="189" w:line="386" w:lineRule="auto"/>
        <w:ind w:right="240" w:firstLine="480"/>
        <w:jc w:val="both"/>
        <w:rPr>
          <w:spacing w:val="-4"/>
        </w:rPr>
      </w:pPr>
      <w:r>
        <w:rPr>
          <w:spacing w:val="-11"/>
        </w:rPr>
        <w:t>公司十分重视、关爱员工的健康，除了按照国家及地方有关社会保险方面的</w:t>
      </w:r>
      <w:r>
        <w:rPr>
          <w:spacing w:val="-22"/>
        </w:rPr>
        <w:t>法律、法规参加社会养老保险、基本医疗保险、工伤保险、生育险等社会保险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pPr>
        <w:pStyle w:val="5"/>
        <w:spacing w:before="189" w:line="386" w:lineRule="auto"/>
        <w:ind w:right="240" w:firstLine="480"/>
        <w:jc w:val="both"/>
      </w:pPr>
      <w:r>
        <w:rPr>
          <w:rFonts w:hint="eastAsia"/>
          <w:spacing w:val="-4"/>
        </w:rPr>
        <w:t>公司也十分重视职工群众的身心健康，内部成立的各类文娱小组</w:t>
      </w:r>
      <w:r>
        <w:rPr>
          <w:spacing w:val="-4"/>
        </w:rPr>
        <w:t>，积极开展活</w:t>
      </w:r>
      <w:r>
        <w:rPr>
          <w:spacing w:val="-21"/>
        </w:rPr>
        <w:t xml:space="preserve">动，并组织了包括篮球、羽毛球等多场比赛。职工可以根据自己的爱好特长和情趣， </w:t>
      </w:r>
      <w:r>
        <w:rPr>
          <w:spacing w:val="-7"/>
        </w:rPr>
        <w:t>展示自己的才华，提升品味，充实精神生活，既活跃了职工的精神生活，也增强了企业的向心力和凝聚力。</w:t>
      </w:r>
    </w:p>
    <w:p>
      <w:pPr>
        <w:pStyle w:val="16"/>
        <w:numPr>
          <w:ilvl w:val="1"/>
          <w:numId w:val="4"/>
        </w:numPr>
        <w:tabs>
          <w:tab w:val="left" w:pos="540"/>
        </w:tabs>
        <w:rPr>
          <w:sz w:val="24"/>
        </w:rPr>
      </w:pPr>
      <w:r>
        <w:rPr>
          <w:sz w:val="24"/>
        </w:rPr>
        <w:t>拓展员工职业成长</w:t>
      </w:r>
    </w:p>
    <w:p>
      <w:pPr>
        <w:pStyle w:val="5"/>
        <w:spacing w:before="189" w:line="386" w:lineRule="auto"/>
        <w:ind w:right="240" w:firstLine="480"/>
        <w:jc w:val="both"/>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一批不同地区不同学校的优秀大中专应届毕业生，并加以培养，使其尽快胜任工作，解决公司现有人力资源不足，改善公司人才结构，提高公司人才创新能力。</w:t>
      </w:r>
    </w:p>
    <w:p>
      <w:pPr>
        <w:pStyle w:val="5"/>
        <w:spacing w:before="4" w:line="386" w:lineRule="auto"/>
        <w:ind w:right="240" w:firstLine="480"/>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w:t>
      </w:r>
      <w:r>
        <w:rPr>
          <w:rFonts w:hint="eastAsia"/>
          <w:spacing w:val="-11"/>
        </w:rPr>
        <w:t>、</w:t>
      </w:r>
      <w:r>
        <w:rPr>
          <w:spacing w:val="-11"/>
        </w:rPr>
        <w:t>高效精干的人才队伍群体，以满足公司参与市场竞争和追赶世界先进水平的</w:t>
      </w:r>
      <w:r>
        <w:rPr>
          <w:spacing w:val="-20"/>
        </w:rPr>
        <w:t>需要。为此，企业制定了人才培养措施和人才培训计划，确立“人才经营”和“逐级育人”的理念，面向市场和研发，实施人力结构调整，着力建设后备人才库、</w:t>
      </w:r>
      <w:r>
        <w:rPr>
          <w:spacing w:val="-8"/>
        </w:rPr>
        <w:t>开发分类课程、优化内部讲师队伍、打造校企合作基地、依托网络系统搭建</w:t>
      </w:r>
      <w:r>
        <w:rPr>
          <w:rFonts w:hint="eastAsia"/>
          <w:spacing w:val="-8"/>
        </w:rPr>
        <w:t>公司</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pPr>
        <w:pStyle w:val="16"/>
        <w:numPr>
          <w:ilvl w:val="1"/>
          <w:numId w:val="4"/>
        </w:numPr>
        <w:tabs>
          <w:tab w:val="left" w:pos="540"/>
        </w:tabs>
        <w:spacing w:before="12"/>
        <w:rPr>
          <w:sz w:val="24"/>
        </w:rPr>
      </w:pPr>
      <w:r>
        <w:rPr>
          <w:sz w:val="24"/>
        </w:rPr>
        <w:t>完善管理体制与软环境建设</w:t>
      </w:r>
    </w:p>
    <w:p>
      <w:pPr>
        <w:pStyle w:val="5"/>
        <w:spacing w:before="189"/>
        <w:ind w:left="600"/>
      </w:pPr>
      <w:r>
        <w:t>公司建立了以人为本的人力资源开发和管理工作系统、激励机制和员工培训</w:t>
      </w:r>
    </w:p>
    <w:p>
      <w:pPr>
        <w:pStyle w:val="5"/>
        <w:spacing w:before="166" w:line="386" w:lineRule="auto"/>
        <w:ind w:left="0" w:right="240"/>
      </w:pP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eastAsia"/>
          <w:spacing w:val="-11"/>
          <w:lang w:eastAsia="zh-CN"/>
        </w:rPr>
        <w:t>行政部</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pPr>
        <w:pStyle w:val="5"/>
        <w:spacing w:before="4" w:line="386" w:lineRule="auto"/>
        <w:ind w:right="355" w:firstLine="480"/>
        <w:jc w:val="both"/>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pPr>
        <w:pStyle w:val="16"/>
        <w:numPr>
          <w:ilvl w:val="1"/>
          <w:numId w:val="4"/>
        </w:numPr>
        <w:tabs>
          <w:tab w:val="left" w:pos="540"/>
        </w:tabs>
        <w:spacing w:before="6"/>
        <w:jc w:val="both"/>
        <w:rPr>
          <w:sz w:val="24"/>
        </w:rPr>
      </w:pPr>
      <w:r>
        <w:rPr>
          <w:sz w:val="24"/>
        </w:rPr>
        <w:t>构建祥和工作氛围</w:t>
      </w:r>
    </w:p>
    <w:p>
      <w:pPr>
        <w:pStyle w:val="5"/>
        <w:spacing w:before="187" w:line="386" w:lineRule="auto"/>
        <w:ind w:right="240" w:firstLine="480"/>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为使员工了解企业的经营情况、发展战略、改革措施等重大事项，搭建员工与高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pPr>
        <w:pStyle w:val="5"/>
        <w:spacing w:before="9" w:line="386" w:lineRule="auto"/>
        <w:ind w:right="359" w:firstLine="480"/>
        <w:jc w:val="both"/>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pPr>
        <w:pStyle w:val="3"/>
        <w:spacing w:before="143"/>
        <w:ind w:left="0"/>
        <w:rPr>
          <w:b/>
          <w:bCs/>
        </w:rPr>
      </w:pPr>
      <w:bookmarkStart w:id="14" w:name="七、奉献社会"/>
      <w:bookmarkEnd w:id="14"/>
      <w:bookmarkStart w:id="15" w:name="_Toc24531711"/>
      <w:r>
        <w:rPr>
          <w:b/>
          <w:bCs/>
        </w:rPr>
        <w:t>七、奉献社会</w:t>
      </w:r>
      <w:bookmarkEnd w:id="15"/>
    </w:p>
    <w:p>
      <w:pPr>
        <w:pStyle w:val="5"/>
        <w:spacing w:before="190" w:line="386" w:lineRule="auto"/>
        <w:ind w:right="359" w:firstLine="480"/>
        <w:jc w:val="both"/>
        <w:rPr>
          <w:szCs w:val="22"/>
        </w:rPr>
      </w:pPr>
      <w:r>
        <w:rPr>
          <w:rFonts w:hint="eastAsia"/>
          <w:szCs w:val="22"/>
        </w:rPr>
        <w:t>公司发展离不开社会各界的支持，同时公司对社会也应履行社会责任。公司领导十分重视公益支持，积极主动履行公共责任，回报社会。</w:t>
      </w:r>
    </w:p>
    <w:p>
      <w:pPr>
        <w:pStyle w:val="5"/>
        <w:spacing w:before="190" w:line="386" w:lineRule="auto"/>
        <w:ind w:right="359" w:firstLine="480"/>
        <w:rPr>
          <w:szCs w:val="22"/>
        </w:rPr>
      </w:pPr>
      <w:r>
        <w:rPr>
          <w:rFonts w:hint="eastAsia"/>
          <w:szCs w:val="22"/>
        </w:rPr>
        <w:t>结合公司的发展战略，在公司战略规划上，专门规划出部分资金用于的公益活动。公司领导以身作则积极参与社会的公益活动。</w:t>
      </w:r>
    </w:p>
    <w:tbl>
      <w:tblPr>
        <w:tblStyle w:val="12"/>
        <w:tblW w:w="84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1"/>
        <w:gridCol w:w="2126"/>
        <w:gridCol w:w="1889"/>
        <w:gridCol w:w="25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911" w:type="dxa"/>
            <w:shd w:val="clear" w:color="auto" w:fill="FFFFFF"/>
            <w:vAlign w:val="center"/>
          </w:tcPr>
          <w:p>
            <w:pPr>
              <w:jc w:val="center"/>
              <w:rPr>
                <w:b/>
                <w:color w:val="000000"/>
                <w:sz w:val="18"/>
                <w:szCs w:val="18"/>
              </w:rPr>
            </w:pPr>
            <w:r>
              <w:rPr>
                <w:rFonts w:hint="eastAsia"/>
                <w:b/>
                <w:color w:val="000000"/>
                <w:sz w:val="18"/>
                <w:szCs w:val="18"/>
              </w:rPr>
              <w:t>指标项</w:t>
            </w:r>
          </w:p>
        </w:tc>
        <w:tc>
          <w:tcPr>
            <w:tcW w:w="2126" w:type="dxa"/>
            <w:shd w:val="clear" w:color="auto" w:fill="FFFFFF"/>
            <w:vAlign w:val="center"/>
          </w:tcPr>
          <w:p>
            <w:pPr>
              <w:jc w:val="center"/>
              <w:rPr>
                <w:b/>
                <w:color w:val="000000"/>
                <w:sz w:val="18"/>
                <w:szCs w:val="18"/>
              </w:rPr>
            </w:pPr>
            <w:r>
              <w:rPr>
                <w:rFonts w:hint="eastAsia"/>
                <w:b/>
                <w:color w:val="000000"/>
                <w:sz w:val="18"/>
                <w:szCs w:val="18"/>
              </w:rPr>
              <w:t>201</w:t>
            </w:r>
            <w:r>
              <w:rPr>
                <w:rFonts w:hint="eastAsia"/>
                <w:b/>
                <w:color w:val="000000"/>
                <w:sz w:val="18"/>
                <w:szCs w:val="18"/>
                <w:lang w:val="en-US" w:eastAsia="zh-CN"/>
              </w:rPr>
              <w:t>9</w:t>
            </w:r>
            <w:r>
              <w:rPr>
                <w:rFonts w:hint="eastAsia"/>
                <w:b/>
                <w:color w:val="000000"/>
                <w:sz w:val="18"/>
                <w:szCs w:val="18"/>
              </w:rPr>
              <w:t>年</w:t>
            </w:r>
          </w:p>
        </w:tc>
        <w:tc>
          <w:tcPr>
            <w:tcW w:w="1889" w:type="dxa"/>
            <w:shd w:val="clear" w:color="auto" w:fill="FFFFFF"/>
            <w:vAlign w:val="center"/>
          </w:tcPr>
          <w:p>
            <w:pPr>
              <w:jc w:val="center"/>
              <w:rPr>
                <w:b/>
                <w:color w:val="000000"/>
                <w:sz w:val="18"/>
                <w:szCs w:val="18"/>
              </w:rPr>
            </w:pPr>
            <w:r>
              <w:rPr>
                <w:rFonts w:hint="eastAsia"/>
                <w:b/>
                <w:color w:val="000000"/>
                <w:sz w:val="18"/>
                <w:szCs w:val="18"/>
              </w:rPr>
              <w:t>20</w:t>
            </w:r>
            <w:r>
              <w:rPr>
                <w:rFonts w:hint="eastAsia"/>
                <w:b/>
                <w:color w:val="000000"/>
                <w:sz w:val="18"/>
                <w:szCs w:val="18"/>
                <w:lang w:val="en-US" w:eastAsia="zh-CN"/>
              </w:rPr>
              <w:t>20</w:t>
            </w:r>
            <w:r>
              <w:rPr>
                <w:rFonts w:hint="eastAsia"/>
                <w:b/>
                <w:color w:val="000000"/>
                <w:sz w:val="18"/>
                <w:szCs w:val="18"/>
              </w:rPr>
              <w:t>年</w:t>
            </w:r>
          </w:p>
        </w:tc>
        <w:tc>
          <w:tcPr>
            <w:tcW w:w="2520" w:type="dxa"/>
            <w:tcBorders>
              <w:right w:val="single" w:color="auto" w:sz="4" w:space="0"/>
            </w:tcBorders>
            <w:shd w:val="clear" w:color="auto" w:fill="FFFFFF"/>
            <w:vAlign w:val="center"/>
          </w:tcPr>
          <w:p>
            <w:pPr>
              <w:jc w:val="center"/>
              <w:rPr>
                <w:b/>
                <w:color w:val="000000"/>
                <w:sz w:val="18"/>
                <w:szCs w:val="18"/>
              </w:rPr>
            </w:pPr>
            <w:r>
              <w:rPr>
                <w:rFonts w:hint="eastAsia"/>
                <w:b/>
                <w:color w:val="000000"/>
                <w:sz w:val="18"/>
                <w:szCs w:val="18"/>
                <w:lang w:eastAsia="zh-CN"/>
              </w:rPr>
              <w:t>2021</w:t>
            </w:r>
            <w:r>
              <w:rPr>
                <w:rFonts w:hint="eastAsia"/>
                <w:b/>
                <w:color w:val="000000"/>
                <w:sz w:val="18"/>
                <w:szCs w:val="18"/>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911" w:type="dxa"/>
            <w:vAlign w:val="center"/>
          </w:tcPr>
          <w:p>
            <w:pPr>
              <w:jc w:val="center"/>
              <w:rPr>
                <w:sz w:val="18"/>
                <w:szCs w:val="18"/>
              </w:rPr>
            </w:pPr>
            <w:r>
              <w:rPr>
                <w:rFonts w:hint="eastAsia"/>
                <w:sz w:val="18"/>
                <w:szCs w:val="18"/>
              </w:rPr>
              <w:t>慈善捐赠（万元）</w:t>
            </w:r>
          </w:p>
        </w:tc>
        <w:tc>
          <w:tcPr>
            <w:tcW w:w="2126" w:type="dxa"/>
            <w:vAlign w:val="center"/>
          </w:tcPr>
          <w:p>
            <w:pPr>
              <w:spacing w:before="33"/>
              <w:ind w:left="211" w:right="178"/>
              <w:jc w:val="center"/>
              <w:rPr>
                <w:rFonts w:hint="default" w:ascii="宋体" w:hAnsi="宋体" w:eastAsia="宋体" w:cs="宋体"/>
                <w:sz w:val="18"/>
                <w:szCs w:val="18"/>
                <w:lang w:val="en-US"/>
              </w:rPr>
            </w:pPr>
            <w:r>
              <w:rPr>
                <w:rFonts w:hint="eastAsia" w:ascii="宋体" w:hAnsi="宋体" w:eastAsia="宋体" w:cs="宋体"/>
                <w:sz w:val="18"/>
                <w:szCs w:val="18"/>
              </w:rPr>
              <w:t>积极响应扶贫号召，</w:t>
            </w:r>
            <w:r>
              <w:rPr>
                <w:rFonts w:hint="eastAsia" w:ascii="宋体" w:hAnsi="宋体" w:eastAsia="宋体" w:cs="宋体"/>
                <w:sz w:val="18"/>
                <w:szCs w:val="18"/>
                <w:lang w:val="en-US" w:eastAsia="zh-CN"/>
              </w:rPr>
              <w:t>贫困学生助学金8000元</w:t>
            </w:r>
          </w:p>
        </w:tc>
        <w:tc>
          <w:tcPr>
            <w:tcW w:w="1889" w:type="dxa"/>
            <w:vAlign w:val="center"/>
          </w:tcPr>
          <w:p>
            <w:pPr>
              <w:spacing w:before="33"/>
              <w:ind w:left="211" w:right="178"/>
              <w:jc w:val="center"/>
              <w:rPr>
                <w:rFonts w:hint="eastAsia" w:ascii="宋体" w:hAnsi="宋体" w:eastAsia="宋体" w:cs="宋体"/>
                <w:sz w:val="18"/>
                <w:szCs w:val="18"/>
              </w:rPr>
            </w:pPr>
            <w:r>
              <w:rPr>
                <w:rFonts w:hint="eastAsia" w:ascii="宋体" w:hAnsi="宋体" w:eastAsia="宋体" w:cs="宋体"/>
                <w:sz w:val="18"/>
                <w:szCs w:val="18"/>
                <w:lang w:val="en-US" w:eastAsia="zh-CN"/>
              </w:rPr>
              <w:t>水滴筹1336元+疫情物质捐赠2万</w:t>
            </w:r>
          </w:p>
        </w:tc>
        <w:tc>
          <w:tcPr>
            <w:tcW w:w="2520" w:type="dxa"/>
            <w:tcBorders>
              <w:right w:val="single" w:color="auto" w:sz="4" w:space="0"/>
            </w:tcBorders>
            <w:vAlign w:val="center"/>
          </w:tcPr>
          <w:p>
            <w:pPr>
              <w:spacing w:before="33"/>
              <w:ind w:left="211" w:right="178"/>
              <w:jc w:val="center"/>
              <w:rPr>
                <w:rFonts w:ascii="Noto Sans Mono CJK JP Regular" w:hAnsi="Calibri" w:cs="Times New Roman"/>
                <w:sz w:val="18"/>
                <w:szCs w:val="18"/>
              </w:rPr>
            </w:pPr>
            <w:r>
              <w:rPr>
                <w:rFonts w:hint="eastAsia"/>
                <w:sz w:val="18"/>
                <w:szCs w:val="18"/>
              </w:rPr>
              <w:t>新冠疫情期间向群建村捐赠价值</w:t>
            </w:r>
            <w:r>
              <w:rPr>
                <w:rFonts w:hint="eastAsia"/>
                <w:sz w:val="18"/>
                <w:szCs w:val="18"/>
                <w:lang w:val="en-US" w:eastAsia="zh-CN"/>
              </w:rPr>
              <w:t>2</w:t>
            </w:r>
            <w:r>
              <w:rPr>
                <w:rFonts w:hint="eastAsia"/>
                <w:sz w:val="18"/>
                <w:szCs w:val="18"/>
                <w:lang w:val="en-US"/>
              </w:rPr>
              <w:t>万元物资支持抗疫</w:t>
            </w:r>
          </w:p>
        </w:tc>
      </w:tr>
    </w:tbl>
    <w:p>
      <w:pPr>
        <w:pStyle w:val="5"/>
        <w:spacing w:before="190" w:line="386" w:lineRule="auto"/>
        <w:ind w:right="359" w:firstLine="480"/>
      </w:pPr>
    </w:p>
    <w:p>
      <w:pPr>
        <w:pStyle w:val="3"/>
        <w:spacing w:before="143"/>
        <w:ind w:left="0"/>
        <w:rPr>
          <w:b/>
          <w:bCs/>
        </w:rPr>
      </w:pPr>
      <w:bookmarkStart w:id="16" w:name="八、合作伙伴"/>
      <w:bookmarkEnd w:id="16"/>
      <w:bookmarkStart w:id="17" w:name="_Toc24531712"/>
      <w:r>
        <w:rPr>
          <w:b/>
          <w:bCs/>
        </w:rPr>
        <w:t>八、合作伙伴</w:t>
      </w:r>
      <w:bookmarkEnd w:id="17"/>
    </w:p>
    <w:p>
      <w:pPr>
        <w:pStyle w:val="5"/>
        <w:spacing w:before="6"/>
        <w:ind w:left="0"/>
        <w:rPr>
          <w:sz w:val="22"/>
        </w:rPr>
      </w:pPr>
    </w:p>
    <w:p>
      <w:pPr>
        <w:pStyle w:val="5"/>
        <w:spacing w:line="386" w:lineRule="auto"/>
        <w:ind w:right="359" w:firstLine="480"/>
        <w:jc w:val="both"/>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pPr>
        <w:pStyle w:val="16"/>
        <w:numPr>
          <w:ilvl w:val="1"/>
          <w:numId w:val="5"/>
        </w:numPr>
        <w:tabs>
          <w:tab w:val="left" w:pos="540"/>
        </w:tabs>
        <w:spacing w:before="2"/>
        <w:jc w:val="both"/>
        <w:rPr>
          <w:sz w:val="24"/>
        </w:rPr>
      </w:pPr>
      <w:r>
        <w:rPr>
          <w:rFonts w:hint="eastAsia"/>
          <w:sz w:val="24"/>
        </w:rPr>
        <w:t>共享共赢</w:t>
      </w:r>
    </w:p>
    <w:p>
      <w:pPr>
        <w:pStyle w:val="5"/>
        <w:spacing w:before="190" w:line="386" w:lineRule="auto"/>
        <w:ind w:right="239" w:firstLine="480"/>
      </w:pPr>
      <w:r>
        <w:rPr>
          <w:spacing w:val="-12"/>
        </w:rPr>
        <w:t>公司早</w:t>
      </w:r>
      <w:r>
        <w:rPr>
          <w:spacing w:val="-15"/>
        </w:rPr>
        <w:t xml:space="preserve">年就推行供应商整合调整项目，即培养一批优秀的供应商， </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w:t>
      </w:r>
    </w:p>
    <w:p>
      <w:pPr>
        <w:pStyle w:val="16"/>
        <w:numPr>
          <w:ilvl w:val="1"/>
          <w:numId w:val="5"/>
        </w:numPr>
        <w:tabs>
          <w:tab w:val="left" w:pos="540"/>
        </w:tabs>
        <w:spacing w:before="166"/>
        <w:jc w:val="both"/>
        <w:rPr>
          <w:sz w:val="24"/>
        </w:rPr>
      </w:pPr>
      <w:r>
        <w:rPr>
          <w:sz w:val="24"/>
        </w:rPr>
        <w:t>杜绝商业贿赂</w:t>
      </w:r>
    </w:p>
    <w:p>
      <w:pPr>
        <w:pStyle w:val="5"/>
        <w:spacing w:before="189" w:line="386" w:lineRule="auto"/>
        <w:ind w:right="359" w:firstLine="480"/>
        <w:jc w:val="both"/>
      </w:pPr>
      <w:r>
        <w:rPr>
          <w:spacing w:val="-9"/>
        </w:rPr>
        <w:t>随着公司的发展，供应商采购管理中的地位显得越来越重要。公司对供应商</w:t>
      </w:r>
      <w:r>
        <w:rPr>
          <w:spacing w:val="-10"/>
        </w:rPr>
        <w:t>的选择是在</w:t>
      </w:r>
      <w:r>
        <w:t>ISO9001</w:t>
      </w:r>
      <w:r>
        <w:rPr>
          <w:spacing w:val="-32"/>
        </w:rPr>
        <w:t>、</w:t>
      </w:r>
      <w:r>
        <w:t>ISO14000</w:t>
      </w:r>
      <w:r>
        <w:rPr>
          <w:spacing w:val="-32"/>
        </w:rPr>
        <w:t>、</w:t>
      </w:r>
      <w:r>
        <w:rPr>
          <w:rFonts w:hint="eastAsia"/>
        </w:rPr>
        <w:t>ISO45001</w:t>
      </w:r>
      <w:r>
        <w:rPr>
          <w:spacing w:val="-11"/>
        </w:rPr>
        <w:t>三大体系文件的原则下进行的</w:t>
      </w:r>
      <w:r>
        <w:t>。</w:t>
      </w:r>
      <w:bookmarkStart w:id="18" w:name="九、社会认可"/>
      <w:bookmarkEnd w:id="18"/>
    </w:p>
    <w:p>
      <w:pPr>
        <w:pStyle w:val="3"/>
        <w:spacing w:before="163"/>
        <w:rPr>
          <w:b/>
          <w:bCs/>
        </w:rPr>
      </w:pPr>
      <w:bookmarkStart w:id="19" w:name="十、存在问题及改进"/>
      <w:bookmarkEnd w:id="19"/>
      <w:bookmarkStart w:id="20" w:name="_Toc24531713"/>
      <w:r>
        <w:rPr>
          <w:rFonts w:hint="eastAsia"/>
          <w:b/>
          <w:bCs/>
        </w:rPr>
        <w:t>九</w:t>
      </w:r>
      <w:r>
        <w:rPr>
          <w:b/>
          <w:bCs/>
        </w:rPr>
        <w:t>、存在问题及改进</w:t>
      </w:r>
      <w:bookmarkEnd w:id="20"/>
    </w:p>
    <w:p>
      <w:pPr>
        <w:pStyle w:val="5"/>
        <w:spacing w:before="7"/>
        <w:ind w:left="0"/>
        <w:rPr>
          <w:sz w:val="22"/>
        </w:rPr>
      </w:pPr>
    </w:p>
    <w:p>
      <w:pPr>
        <w:pStyle w:val="5"/>
        <w:spacing w:line="386" w:lineRule="auto"/>
        <w:ind w:right="355" w:firstLine="480"/>
      </w:pPr>
      <w:r>
        <w:t>公司在履行社会责任各方面做了大量的工作，但与相关规定仍存在差距。</w:t>
      </w:r>
      <w:r>
        <w:rPr>
          <w:rFonts w:hint="eastAsia"/>
          <w:lang w:eastAsia="zh-CN"/>
        </w:rPr>
        <w:t>2021</w:t>
      </w:r>
      <w:r>
        <w:t>年，</w:t>
      </w:r>
      <w:r>
        <w:rPr>
          <w:rFonts w:hint="eastAsia"/>
        </w:rPr>
        <w:t>受新冠肺炎疫情影响</w:t>
      </w:r>
      <w:r>
        <w:t>市场需求低迷， 不得不面对</w:t>
      </w:r>
      <w:r>
        <w:rPr>
          <w:rFonts w:hint="eastAsia"/>
        </w:rPr>
        <w:t>公司</w:t>
      </w:r>
      <w:r>
        <w:t>转型发展中的不适应：一是规模和效益方面：</w:t>
      </w:r>
      <w:r>
        <w:rPr>
          <w:rFonts w:hint="eastAsia"/>
          <w:lang w:eastAsia="zh-CN"/>
        </w:rPr>
        <w:t>2021</w:t>
      </w:r>
      <w:r>
        <w:rPr>
          <w:spacing w:val="-20"/>
        </w:rPr>
        <w:t>年以</w:t>
      </w:r>
      <w:r>
        <w:rPr>
          <w:spacing w:val="-22"/>
        </w:rPr>
        <w:t>来，公司整体经济效益</w:t>
      </w:r>
      <w:r>
        <w:rPr>
          <w:rFonts w:hint="eastAsia"/>
          <w:spacing w:val="-22"/>
        </w:rPr>
        <w:t>增长趋势走低</w:t>
      </w:r>
      <w:r>
        <w:rPr>
          <w:spacing w:val="-22"/>
        </w:rPr>
        <w:t>，公司经营管理有待进一步完善。</w:t>
      </w:r>
      <w:r>
        <w:rPr>
          <w:spacing w:val="-7"/>
        </w:rPr>
        <w:t>二是人员结构和薪酬方面：人员结构优化结果与预期还有差距，薪酬结构和薪酬</w:t>
      </w:r>
      <w:r>
        <w:t>水平与规模和效益不匹配，有待进一步深化改革。三是国际化的竞争水平不高，国际化战略刚见雏形、国际化市场资源配备不科学。四是商业模式传统并单一，还未完全实现</w:t>
      </w:r>
      <w:r>
        <w:rPr>
          <w:rFonts w:hint="eastAsia"/>
        </w:rPr>
        <w:t>生产</w:t>
      </w:r>
      <w:r>
        <w:t>服务商转型。</w:t>
      </w:r>
    </w:p>
    <w:p>
      <w:pPr>
        <w:pStyle w:val="5"/>
        <w:spacing w:before="7" w:line="386" w:lineRule="auto"/>
        <w:ind w:right="359" w:firstLine="480"/>
        <w:rPr>
          <w:spacing w:val="-11"/>
        </w:rPr>
      </w:pPr>
      <w:r>
        <w:t>未来三年，是我们 “雄鹰展翅翱翔”之年。公司将继续专注于</w:t>
      </w:r>
      <w:r>
        <w:rPr>
          <w:rFonts w:hint="eastAsia"/>
          <w:lang w:val="en-US" w:eastAsia="zh-CN"/>
        </w:rPr>
        <w:t>箱包</w:t>
      </w:r>
      <w:r>
        <w:rPr>
          <w:spacing w:val="-9"/>
        </w:rPr>
        <w:t>的研发、生产和销售业务，瞄准国际前沿技术，坚持以实业经营为根本，以资</w:t>
      </w:r>
      <w:r>
        <w:rPr>
          <w:spacing w:val="-10"/>
        </w:rPr>
        <w:t>本运作为手段，二者循环促进，推动公司成为</w:t>
      </w:r>
      <w:r>
        <w:rPr>
          <w:rFonts w:hint="eastAsia"/>
          <w:spacing w:val="-10"/>
          <w:lang w:val="en-US" w:eastAsia="zh-CN"/>
        </w:rPr>
        <w:t>箱包</w:t>
      </w:r>
      <w:r>
        <w:rPr>
          <w:spacing w:val="-10"/>
        </w:rPr>
        <w:t xml:space="preserve">的创新者和领导者， </w:t>
      </w:r>
      <w:r>
        <w:rPr>
          <w:rFonts w:hint="eastAsia"/>
          <w:spacing w:val="-10"/>
        </w:rPr>
        <w:t>贯彻“</w:t>
      </w:r>
      <w:r>
        <w:rPr>
          <w:rFonts w:hint="eastAsia"/>
          <w:color w:val="000000"/>
          <w:lang w:eastAsia="zh-CN"/>
        </w:rPr>
        <w:t>客户至上，以诚取信，服务社会，回报社会</w:t>
      </w:r>
      <w:r>
        <w:rPr>
          <w:rFonts w:hint="eastAsia"/>
          <w:color w:val="000000"/>
        </w:rPr>
        <w:t>”的经营理念，</w:t>
      </w:r>
      <w:r>
        <w:rPr>
          <w:rFonts w:hint="eastAsia"/>
          <w:spacing w:val="-19"/>
        </w:rPr>
        <w:t>最终实现</w:t>
      </w:r>
      <w:r>
        <w:rPr>
          <w:spacing w:val="-19"/>
        </w:rPr>
        <w:t xml:space="preserve"> “</w:t>
      </w:r>
      <w:r>
        <w:rPr>
          <w:rFonts w:hint="eastAsia"/>
          <w:color w:val="000000"/>
          <w:lang w:eastAsia="zh-CN"/>
        </w:rPr>
        <w:t>创中国箱包行业第一品牌</w:t>
      </w:r>
      <w:r>
        <w:rPr>
          <w:color w:val="000000"/>
        </w:rPr>
        <w:t>”</w:t>
      </w:r>
      <w:r>
        <w:rPr>
          <w:rFonts w:hint="eastAsia"/>
          <w:color w:val="000000"/>
        </w:rPr>
        <w:t>的愿景</w:t>
      </w:r>
      <w:r>
        <w:rPr>
          <w:spacing w:val="-19"/>
        </w:rPr>
        <w:t>。</w:t>
      </w:r>
    </w:p>
    <w:p>
      <w:pPr>
        <w:pStyle w:val="5"/>
        <w:spacing w:before="7" w:line="386" w:lineRule="auto"/>
        <w:ind w:right="359"/>
        <w:rPr>
          <w:spacing w:val="-11"/>
        </w:rPr>
      </w:pPr>
      <w:r>
        <w:rPr>
          <w:rFonts w:hint="eastAsia"/>
          <w:spacing w:val="-11"/>
        </w:rPr>
        <w:t>明确了发展战略为：</w:t>
      </w:r>
    </w:p>
    <w:p>
      <w:pPr>
        <w:pStyle w:val="5"/>
        <w:spacing w:before="7" w:line="386" w:lineRule="auto"/>
        <w:ind w:right="359" w:firstLine="480"/>
        <w:rPr>
          <w:spacing w:val="-11"/>
        </w:rPr>
      </w:pPr>
      <w:r>
        <w:rPr>
          <w:rFonts w:hint="eastAsia"/>
          <w:spacing w:val="-11"/>
        </w:rPr>
        <w:t>通过专业化人才队伍的建设，提高设计开发能力以满足不同客户对不同类别产品的需求；通过电子商务平台搭建、线上线下多渠道销售布局以提高覆盖率，进而提升企业品牌优势和影响力；通过完善内部管理流程以保证产品品质，进而提升顾客满意度及品牌美誉度。</w:t>
      </w:r>
    </w:p>
    <w:p>
      <w:pPr>
        <w:pStyle w:val="5"/>
        <w:spacing w:before="7" w:line="386" w:lineRule="auto"/>
        <w:ind w:right="359" w:firstLine="480"/>
        <w:rPr>
          <w:spacing w:val="-11"/>
        </w:rPr>
      </w:pPr>
      <w:r>
        <w:rPr>
          <w:rFonts w:hint="eastAsia"/>
          <w:spacing w:val="-11"/>
        </w:rPr>
        <w:t>利用消费市场增长机会，快速布局市场销售渠道，提高产品或服务的能力；利用行业整合机会，加强管理人员建设，完善相关管理制度；针对消费者需求的多样化逐步丰富产品线，增加品牌内涵；强化供应商管理，满足客户对产品或服务的要求。</w:t>
      </w:r>
    </w:p>
    <w:p>
      <w:pPr>
        <w:pStyle w:val="5"/>
        <w:spacing w:before="8" w:line="388" w:lineRule="auto"/>
        <w:ind w:right="360" w:firstLine="480"/>
        <w:jc w:val="both"/>
      </w:pPr>
      <w:r>
        <w:rPr>
          <w:spacing w:val="-10"/>
        </w:rPr>
        <w:t>总之，在国家发展规划的引领下、在</w:t>
      </w:r>
      <w:r>
        <w:rPr>
          <w:rFonts w:hint="eastAsia"/>
          <w:spacing w:val="-10"/>
        </w:rPr>
        <w:t>当地</w:t>
      </w:r>
      <w:r>
        <w:rPr>
          <w:spacing w:val="-10"/>
        </w:rPr>
        <w:t>政府的大力支持下，通过努力，相信</w:t>
      </w:r>
      <w:r>
        <w:rPr>
          <w:rFonts w:hint="eastAsia"/>
          <w:spacing w:val="-7"/>
        </w:rPr>
        <w:t>公司</w:t>
      </w:r>
      <w:r>
        <w:rPr>
          <w:spacing w:val="-7"/>
        </w:rPr>
        <w:t>未来三年规划会顺利实现，为经济的繁荣发展献上一己之力！最终造</w:t>
      </w:r>
      <w:r>
        <w:t>福股东、造福员工、造福社会。</w:t>
      </w:r>
    </w:p>
    <w:sectPr>
      <w:pgSz w:w="11910" w:h="16840"/>
      <w:pgMar w:top="1420" w:right="1440" w:bottom="1380" w:left="1680" w:header="877" w:footer="11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Noto Sans Mono CJK JP Regular">
    <w:altName w:val="Arial"/>
    <w:panose1 w:val="00000000000000000000"/>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9791700</wp:posOffset>
              </wp:positionV>
              <wp:extent cx="167005" cy="1397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pt;margin-top:771pt;height:11pt;width:13.15pt;mso-position-horizontal-relative:page;mso-position-vertical-relative:page;z-index:-251657216;mso-width-relative:page;mso-height-relative:page;" filled="f" stroked="f" coordsize="21600,21600" o:gfxdata="UEsDBAoAAAAAAIdO4kAAAAAAAAAAAAAAAAAEAAAAZHJzL1BLAwQUAAAACACHTuJATr/t4NoAAAAN&#10;AQAADwAAAGRycy9kb3ducmV2LnhtbE2PzU7DMBCE70i8g7VI3Kjd0kYhxKkQghMSIg0Hjk6yTazG&#10;6xC7P7w9mxPcdndGs9/k24sbxAmnYD1pWC4UCKTGt5Y6DZ/V610KIkRDrRk8oYYfDLAtrq9yk7X+&#10;TCWedrETHEIhMxr6GMdMytD06ExY+BGJtb2fnIm8Tp1sJ3PmcDfIlVKJdMYSf+jNiM89Nofd0Wl4&#10;+qLyxX6/1x/lvrRV9aDoLTlofXuzVI8gIl7inxlmfEaHgplqf6Q2iEHDJl1xl8jCZj1PbElUeg+i&#10;nk/JWoEscvm/RfELUEsDBBQAAAAIAIdO4kCXqYqbuAEAAHEDAAAOAAAAZHJzL2Uyb0RvYy54bWyt&#10;U01uEzEU3iP1Dpb3jSehFBhlUglFrZAQIBUO4HjsjCX/6dnJTC4AN2DFhj3nyjn67MmkUDZdsPG8&#10;P3/vfd/zLG8Ga8heQtTeNXQ+qyiRTvhWu21Dv365vXxDSUzctdx4Jxt6kJHerC5eLPtQy4XvvGkl&#10;EARxse5DQ7uUQs1YFJ20PM58kA6TyoPlCV3YshZ4j+jWsEVVXbPeQxvACxkjRtdjkp4Q4TmAXikt&#10;5NqLnZUujaggDU9IKXY6RLoq0yolRfqkVJSJmIYi01RObIL2Jp9steT1FnjotDiNwJ8zwhNOlmuH&#10;Tc9Qa5442YH+B8pqAT56lWbCWzYSKYogi3n1RJv7jgdZuKDUMZxFj/8PVnzcfwai24YuKHHc4sKP&#10;P74ff/4+/vpGrrI8fYg1Vt0HrEvDOz/go5niEYOZ9aDA5i/yIZhHcQ9nceWQiMiXrl9X1StKBKbm&#10;L9+ik1HY4+UAMd1Jb0k2Ggq4uyIp33+IaSydSnIv52+1MWV/xv0VQMwcYXnyccJspWEznOhsfHtA&#10;Nua9QyXzq5gMmIzNZOwC6G2H4xTOBRI3UeY+vZq86j/90vjxT1k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6/7eDaAAAADQEAAA8AAAAAAAAAAQAgAAAAIgAAAGRycy9kb3ducmV2LnhtbFBLAQIU&#10;ABQAAAAIAIdO4kCXqYqbuAEAAHEDAAAOAAAAAAAAAAEAIAAAACkBAABkcnMvZTJvRG9jLnhtbFBL&#10;BQYAAAAABgAGAFkBAABT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9930765</wp:posOffset>
              </wp:positionV>
              <wp:extent cx="107950" cy="139700"/>
              <wp:effectExtent l="0" t="0" r="0" b="0"/>
              <wp:wrapNone/>
              <wp:docPr id="6" name="文本框 10"/>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5</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10" o:spid="_x0000_s1026" o:spt="202" type="#_x0000_t202" style="position:absolute;left:0pt;margin-top:781.95pt;height:11pt;width:8.5pt;mso-position-horizontal:center;mso-position-horizontal-relative:margin;mso-position-vertical-relative:page;z-index:251661312;mso-width-relative:page;mso-height-relative:page;" filled="f" stroked="f" coordsize="21600,21600" o:gfxdata="UEsDBAoAAAAAAIdO4kAAAAAAAAAAAAAAAAAEAAAAZHJzL1BLAwQUAAAACACHTuJAKmpotdYAAAAJ&#10;AQAADwAAAGRycy9kb3ducmV2LnhtbE2PzU7DMBCE70i8g7VI3KhdUEMT4lQIwQkJkYYDRyfeJlHj&#10;dYjdH96ezYke95vR7Ey+ObtBHHEKvScNy4UCgdR421Or4at6u1uDCNGQNYMn1PCLATbF9VVuMutP&#10;VOJxG1vBIRQyo6GLccykDE2HzoSFH5FY2/nJmcjn1Eo7mROHu0HeK5VIZ3riD50Z8aXDZr89OA3P&#10;31S+9j8f9We5K/uqShW9J3utb2+W6glExHP8N8Ncn6tDwZ1qfyAbxKCBh0Smq+QhBTHrj0zqmaxX&#10;Kcgil5cLij9QSwMEFAAAAAgAh07iQC1Ci1m5AQAAcgMAAA4AAABkcnMvZTJvRG9jLnhtbK1TS24b&#10;MQzdF+gdBO3rGadI0gw8DlAYCQoUbYG0B5A1kkeAfiBlz/gCyQ266qb7nsvnKCX/2nSTRTcaiqQe&#10;+R45s9vRWbZRgCb4lk8nNWfKy9AZv2r5t693b95xhkn4TtjgVcu3Cvnt/PWr2RAbdRH6YDsFjEA8&#10;NkNseZ9SbKoKZa+cwEmIylNQB3Ai0RVWVQdiIHRnq4u6vqqGAF2EIBUieRf7ID8gwksAg9ZGqkWQ&#10;a6d82qOCsiIRJexNRD4v3WqtZPqsNarEbMuJaSonFSF7mc9qPhPNCkTsjTy0IF7SwjNOThhPRU9Q&#10;C5EEW4P5B8oZCQGDThMZXLUnUhQhFtP6mTYPvYiqcCGpMZ5Ex/8HKz9tvgAzXcuvOPPC0cB33592&#10;P37tfj6yadFniNhQ2kOkxDS+DyNtTdYt+5GcmfaoweUvEWIUJ3W3J3XVmJjMj+rrm0uKSApN395c&#10;1wW9Oj+OgOleBcey0XKg4RVNxeYjJipIqceUXMuHO2NtGaD1fzkoMXuqc4fZSuNyPLS9DN2W2NgP&#10;nqTMa3E04Ggsj8Y6gln11E7hXCBpFKWZw9rkWf95L4XPv8r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qaLXWAAAACQEAAA8AAAAAAAAAAQAgAAAAIgAAAGRycy9kb3ducmV2LnhtbFBLAQIUABQA&#10;AAAIAIdO4kAtQotZuQEAAHIDAAAOAAAAAAAAAAEAIAAAACUBAABkcnMvZTJvRG9jLnhtbFBLBQYA&#10;AAAABgAGAFkBAABQBQAAAAA=&#10;">
              <v:fill on="f" focussize="0,0"/>
              <v:stroke on="f"/>
              <v:imagedata o:title=""/>
              <o:lock v:ext="edit" aspectratio="f"/>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5</w:t>
                    </w:r>
                    <w:r>
                      <w:rPr>
                        <w:rFonts w:ascii="Times New Roman" w:hAnsi="Times New Roman"/>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9930765</wp:posOffset>
              </wp:positionV>
              <wp:extent cx="298450" cy="150495"/>
              <wp:effectExtent l="0" t="0" r="0" b="0"/>
              <wp:wrapNone/>
              <wp:docPr id="5" name="文本框 7"/>
              <wp:cNvGraphicFramePr/>
              <a:graphic xmlns:a="http://schemas.openxmlformats.org/drawingml/2006/main">
                <a:graphicData uri="http://schemas.microsoft.com/office/word/2010/wordprocessingShape">
                  <wps:wsp>
                    <wps:cNvSpPr txBox="1"/>
                    <wps:spPr>
                      <a:xfrm>
                        <a:off x="0" y="0"/>
                        <a:ext cx="298450" cy="150495"/>
                      </a:xfrm>
                      <a:prstGeom prst="rect">
                        <a:avLst/>
                      </a:prstGeom>
                      <a:noFill/>
                      <a:ln>
                        <a:noFill/>
                      </a:ln>
                    </wps:spPr>
                    <wps:txbx>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23</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7" o:spid="_x0000_s1026" o:spt="202" type="#_x0000_t202" style="position:absolute;left:0pt;margin-top:781.95pt;height:11.85pt;width:23.5pt;mso-position-horizontal:center;mso-position-horizontal-relative:margin;mso-position-vertical-relative:page;z-index:251660288;mso-width-relative:page;mso-height-relative:page;" filled="f" stroked="f" coordsize="21600,21600" o:gfxdata="UEsDBAoAAAAAAIdO4kAAAAAAAAAAAAAAAAAEAAAAZHJzL1BLAwQUAAAACACHTuJA/cFBCdcAAAAJ&#10;AQAADwAAAGRycy9kb3ducmV2LnhtbE2PS0/DMBCE70j8B2uRuFG7PNI2xKkQghMSIg0Hjk68TazG&#10;6xC7D/492xMc95vR7EyxPvlBHHCKLpCG+UyBQGqDddRp+Kxfb5YgYjJkzRAINfxghHV5eVGY3IYj&#10;VXjYpE5wCMXcaOhTGnMpY9ujN3EWRiTWtmHyJvE5ddJO5sjhfpC3SmXSG0f8oTcjPvfY7jZ7r+Hp&#10;i6oX9/3efFTbytX1StFbttP6+mquHkEkPKU/M5zrc3UouVMT9mSjGDTwkMT0IbtbgWD9fsGkOZPl&#10;IgNZFvL/gvIXUEsDBBQAAAAIAIdO4kBEw+qpugEAAHEDAAAOAAAAZHJzL2Uyb0RvYy54bWytU82O&#10;0zAQviPxDpbv1Gm1hd2o6UqoWoSEAGmXB3Adu7HkP43dJn0BeANOXLjzXH0Oxk7TheWyBy7OZGby&#10;zfd946xuB2vIQULU3jV0PqsokU74VrtdQ7883L26piQm7lpuvJMNPcpIb9cvX6z6UMuF77xpJRAE&#10;cbHuQ0O7lELNWBSdtDzOfJAOi8qD5QlfYcda4D2iW8MWVfWa9R7aAF7IGDG7GYv0jAjPAfRKaSE3&#10;XuytdGlEBWl4Qkmx0yHSdWGrlBTpk1JRJmIaikpTOXEIxtt8svWK1zvgodPiTIE/h8ITTZZrh0Mv&#10;UBueONmD/gfKagE+epVmwls2CimOoIp59cSb+44HWbSg1TFcTI//D1Z8PHwGotuGLilx3OLCT9+/&#10;nX78Ov38St5ke/oQa+y6D9iXhrd+wEsz5SMms+pBgc1P1EOwjuYeL+bKIRGBycXN9dUSKwJL82V1&#10;dbPMKOzx4wAxvZPekhw0FHB3xVJ++BDT2Dq15FnO32ljyv6M+yuBmDnDMvORYY7SsB3Ocra+PaIa&#10;896hk/lWTAFMwXYK9gH0rkM6RXOBxE0U3udbk1f953sZ/Pin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FBCdcAAAAJAQAADwAAAAAAAAABACAAAAAiAAAAZHJzL2Rvd25yZXYueG1sUEsBAhQA&#10;FAAAAAgAh07iQETD6qm6AQAAcQMAAA4AAAAAAAAAAQAgAAAAJgEAAGRycy9lMm9Eb2MueG1sUEsF&#10;BgAAAAAGAAYAWQEAAFIFAAAAAA==&#10;">
              <v:fill on="f" focussize="0,0"/>
              <v:stroke on="f"/>
              <v:imagedata o:title=""/>
              <o:lock v:ext="edit" aspectratio="f"/>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23</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lang w:eastAsia="zh-CN"/>
      </w:rPr>
      <mc:AlternateContent>
        <mc:Choice Requires="wpg">
          <w:drawing>
            <wp:anchor distT="0" distB="0" distL="114300" distR="114300" simplePos="0" relativeHeight="251662336" behindDoc="1" locked="0" layoutInCell="1" allowOverlap="1">
              <wp:simplePos x="0" y="0"/>
              <wp:positionH relativeFrom="page">
                <wp:posOffset>899160</wp:posOffset>
              </wp:positionH>
              <wp:positionV relativeFrom="paragraph">
                <wp:posOffset>271145</wp:posOffset>
              </wp:positionV>
              <wp:extent cx="5888355" cy="1270"/>
              <wp:effectExtent l="0" t="0" r="0" b="0"/>
              <wp:wrapNone/>
              <wp:docPr id="8" name="组合 8"/>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7" name="任意多边形 9"/>
                      <wps:cNvSpPr/>
                      <wps:spPr>
                        <a:xfrm>
                          <a:off x="1416" y="-308"/>
                          <a:ext cx="9273" cy="2"/>
                        </a:xfrm>
                        <a:custGeom>
                          <a:avLst/>
                          <a:gdLst/>
                          <a:ahLst/>
                          <a:cxnLst/>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0.8pt;margin-top:21.35pt;height:0.1pt;width:463.65pt;mso-position-horizontal-relative:page;z-index:-251654144;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GYOqD+WAgAAswUAAA4AAABkcnMvZTJvRG9jLnhtbKVU&#10;zW4TMRC+I/EOlu/t5oc26SqbHkjbC4JKLQ/geL27lvwn28km9x64wZkj4iWqCp6GAo/B2LubpKGH&#10;CHLYjGfGM998M57J+UoKtGTWca0y3D/uYcQU1TlXZYbf314ejTFynqicCK1YhtfM4fPpyxeT2qRs&#10;oCstcmYRBFEurU2GK+9NmiSOVkwSd6wNU2AstJXEw9GWSW5JDdGlSAa93mlSa5sbqylzDrSzxojb&#10;iPaQgLooOGUzTReSKd9EtUwQDyW5ihuHpxFtUTDq3xWFYx6JDEOlPn4hCcjz8E2mE5KWlpiK0xYC&#10;OQTCXk2ScAVJN6FmxBO0sPyvUJJTq50u/DHVMmkKiYxAFf3eHjdXVi9MrKVM69JsSIdG7bH+z2Hp&#10;2+W1RTzPMLRdEQkN//Vw9/jpAxoHbmpTpuByZc2NubatomxOodxVYWX4h0LQKrK63rDKVh5RUJ6M&#10;x+PhyQlGFGz9waglnVbQmXCp/6p/ihHYjoa9mJSktLpoL58NRsPm5mDQGwZISZc1CeA2WGoD4+i2&#10;HLn/4+imIoZF6l0goOVo1HH04+Hh593Hx6+ff3+/f/z2BZ01ZEXfDVMudUDaMzQ9U3FH1k69T4oF&#10;ThbOXzEd6SbLN843o5t3Eqk6ia5UJxrigzpgCCKqMxwzBIXUS3aro8nvNQ843lqF2vVqAHZdBsfG&#10;DEJIENuzSQrKXdRKX3IhImyhApTR8BQ6TwlskQJeL4jSwCQ6Vca35LTgebgSMDpbzl8Li5YkvOT4&#10;awl64mas8zPiqsYvmoIbSStG8guVI782MOMKVhsOECTLMRIMNmGQoqcnXBziGWuHgsPkNY0O0lzn&#10;a5iWhbG8rGDd9CPKdjqjd3zLkah274RlsXuOXttdO/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clGt9kAAAAKAQAADwAAAAAAAAABACAAAAAiAAAAZHJzL2Rvd25yZXYueG1sUEsBAhQAFAAAAAgA&#10;h07iQGYOqD+WAgAAswUAAA4AAAAAAAAAAQAgAAAAKAEAAGRycy9lMm9Eb2MueG1sUEsFBgAAAAAG&#10;AAYAWQEAADAGAAAAAA==&#10;">
              <o:lock v:ext="edit" aspectratio="f"/>
              <v:shape id="任意多边形 9" o:spid="_x0000_s1026" o:spt="100" style="position:absolute;left:1416;top:-308;height:2;width:9273;" filled="f" stroked="t" coordsize="9273,1" o:gfxdata="UEsDBAoAAAAAAIdO4kAAAAAAAAAAAAAAAAAEAAAAZHJzL1BLAwQUAAAACACHTuJA+xlAVL4AAADa&#10;AAAADwAAAGRycy9kb3ducmV2LnhtbEWPT2vCQBTE74V+h+UVehHdqFhDdBUqFL20YOrB4yP7TEKz&#10;b8Pu80/99N1CocdhZn7DLNc316kLhdh6NjAeZaCIK29brg0cPt+GOagoyBY7z2TgmyKsV48PSyys&#10;v/KeLqXUKkE4FmigEekLrWPVkMM48j1x8k4+OJQkQ61twGuCu05PsuxFO2w5LTTY06ah6qs8OwPH&#10;D9E7md0n91cK22k5zbfvg9yY56dxtgAldJP/8F97Zw3M4fdKugF6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lAVL4A&#10;AADaAAAADwAAAAAAAAABACAAAAAiAAAAZHJzL2Rvd25yZXYueG1sUEsBAhQAFAAAAAgAh07iQDMv&#10;BZ47AAAAOQAAABAAAAAAAAAAAQAgAAAADQEAAGRycy9zaGFwZXhtbC54bWxQSwUGAAAAAAYABgBb&#10;AQAAtwMAAAAA&#10;" path="m0,0l9273,0e">
                <v:fill on="f" focussize="0,0"/>
                <v:stroke weight="0.58pt" color="#000000" joinstyle="round"/>
                <v:imagedata o:title=""/>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rPr>
      <mc:AlternateContent>
        <mc:Choice Requires="wpg">
          <w:drawing>
            <wp:anchor distT="0" distB="0" distL="114300" distR="114300" simplePos="0" relativeHeight="251660288" behindDoc="1" locked="0" layoutInCell="1" allowOverlap="1">
              <wp:simplePos x="0" y="0"/>
              <wp:positionH relativeFrom="page">
                <wp:posOffset>899160</wp:posOffset>
              </wp:positionH>
              <wp:positionV relativeFrom="paragraph">
                <wp:posOffset>271145</wp:posOffset>
              </wp:positionV>
              <wp:extent cx="5888355" cy="1270"/>
              <wp:effectExtent l="0" t="0" r="0" b="0"/>
              <wp:wrapNone/>
              <wp:docPr id="4" name="组合 5"/>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3" name="任意多边形 6"/>
                      <wps:cNvSpPr/>
                      <wps:spPr>
                        <a:xfrm>
                          <a:off x="1416" y="-308"/>
                          <a:ext cx="9273" cy="2"/>
                        </a:xfrm>
                        <a:custGeom>
                          <a:avLst/>
                          <a:gdLst/>
                          <a:ahLst/>
                          <a:cxnLst/>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组合 5" o:spid="_x0000_s1026" o:spt="203" style="position:absolute;left:0pt;margin-left:70.8pt;margin-top:21.35pt;height:0.1pt;width:463.65pt;mso-position-horizontal-relative:page;z-index:-251656192;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OateG2WAgAAswUAAA4AAABkcnMvZTJvRG9jLnhtbKVU&#10;zW4TMRC+I/EOlu/t5qdJw6qbHkjbC4JKLQ/ger27lvwn28km9x64wZkj4iWqCJ6GAo/B2N6kaeih&#10;ghw2Y894/H3fjOfkdCkFWjDruFYF7h/2MGKK6pKrusDvr88PJhg5T1RJhFaswCvm8On05YuT1uRs&#10;oBstSmYRJFEub02BG+9NnmWONkwSd6gNU+CstJXEw9LWWWlJC9mlyAa93jhrtS2N1ZQ5B7uz5MRd&#10;RvuchLqqOGUzTeeSKZ+yWiaIB0qu4cbhaURbVYz6d1XlmEeiwMDUxy9cAvZN+GbTE5LXlpiG0w4C&#10;eQ6EPU6ScAWXblPNiCdobvlfqSSnVjtd+UOqZZaIREWARb+3p82F1XMTudR5W5ut6FCoPdX/OS19&#10;u7i0iJcFPsJIEQkF/7W+vf/0AY2CNq2pcwi5sObKXNpuo06rQHdZWRn+gQhaRlVXW1XZ0iMKm6PJ&#10;ZDIcjTCi4OsPjjvRaQOVCYf6R/0xRuA7GPYmqSC0OesOvxocD9PJwaA3DN5sc2sWwG2xtAba0T1o&#10;5P5Po6uGGBald0GATiOAkjT6sV7/vP14//Xz7+9399++oHESK8ZulXK5A9GekOkJxhuxdvg+Ikty&#10;Onf+gukoN1m8cT61brmxSLOx6FJtTEN82A4YgonaAscbwobUC3ato8vvFQ80fvAKtRuVAG6qDIHJ&#10;DUa4IJZneyls7qJW+pwLEWELFaAcD8dQeUpgilTwesGUBjrRqTq+JacFL8ORgNHZ+ua1sGhBwkuO&#10;v06gR2HGOj8jrklx0RXCSN4wUp6pEvmVgR5XMNpwgCBZiZFgMAmDFSM94eI5kZE7EA6dlwodrBtd&#10;rqBb5sbyuoFx048ou+6M0fEtR6G6uROGxe46Rj3M2u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kclGt9kAAAAKAQAADwAAAAAAAAABACAAAAAiAAAAZHJzL2Rvd25yZXYueG1sUEsBAhQAFAAAAAgA&#10;h07iQOateG2WAgAAswUAAA4AAAAAAAAAAQAgAAAAKAEAAGRycy9lMm9Eb2MueG1sUEsFBgAAAAAG&#10;AAYAWQEAADAGAAAAAA==&#10;">
              <o:lock v:ext="edit" aspectratio="f"/>
              <v:shape id="任意多边形 6" o:spid="_x0000_s1026" o:spt="100" style="position:absolute;left:1416;top:-308;height:2;width:9273;" filled="f" stroked="t" coordsize="9273,1" o:gfxdata="UEsDBAoAAAAAAIdO4kAAAAAAAAAAAAAAAAAEAAAAZHJzL1BLAwQUAAAACACHTuJAhCJGV70AAADa&#10;AAAADwAAAGRycy9kb3ducmV2LnhtbEWPzWrDMBCE74W+g9hCLiWRE9NinCiBBEJySaFuDz0u1tY2&#10;tVZG2vw+fVQo9DjMzDfMYnVxvTpRiJ1nA9NJBoq49rbjxsDnx3ZcgIqCbLH3TAauFGG1fHxYYGn9&#10;md/pVEmjEoRjiQZakaHUOtYtOYwTPxAn79sHh5JkaLQNeE5w1+tZlr1qhx2nhRYH2rRU/1RHZ+Dr&#10;TfReXm6z25rCLq/yYnd4LowZPU2zOSihi/yH/9p7ayCH3yvpBuj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IkZXvQAA&#10;ANoAAAAPAAAAAAAAAAEAIAAAACIAAABkcnMvZG93bnJldi54bWxQSwECFAAUAAAACACHTuJAMy8F&#10;njsAAAA5AAAAEAAAAAAAAAABACAAAAAMAQAAZHJzL3NoYXBleG1sLnhtbFBLBQYAAAAABgAGAFsB&#10;AAC2AwAAAAA=&#10;" path="m0,0l9273,0e">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6"/>
      <w:numFmt w:val="decimal"/>
      <w:lvlText w:val="%1"/>
      <w:lvlJc w:val="left"/>
      <w:pPr>
        <w:ind w:left="540" w:hanging="420"/>
      </w:pPr>
      <w:rPr>
        <w:rFonts w:hint="default"/>
        <w:lang w:val="zh-CN" w:eastAsia="zh-CN" w:bidi="zh-CN"/>
      </w:rPr>
    </w:lvl>
    <w:lvl w:ilvl="1" w:tentative="0">
      <w:start w:val="1"/>
      <w:numFmt w:val="decimal"/>
      <w:lvlText w:val="%1.%2"/>
      <w:lvlJc w:val="left"/>
      <w:pPr>
        <w:ind w:left="54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189" w:hanging="420"/>
      </w:pPr>
      <w:rPr>
        <w:rFonts w:hint="default"/>
        <w:lang w:val="zh-CN" w:eastAsia="zh-CN" w:bidi="zh-CN"/>
      </w:rPr>
    </w:lvl>
    <w:lvl w:ilvl="3" w:tentative="0">
      <w:start w:val="0"/>
      <w:numFmt w:val="bullet"/>
      <w:lvlText w:val="•"/>
      <w:lvlJc w:val="left"/>
      <w:pPr>
        <w:ind w:left="3013" w:hanging="420"/>
      </w:pPr>
      <w:rPr>
        <w:rFonts w:hint="default"/>
        <w:lang w:val="zh-CN" w:eastAsia="zh-CN" w:bidi="zh-CN"/>
      </w:rPr>
    </w:lvl>
    <w:lvl w:ilvl="4" w:tentative="0">
      <w:start w:val="0"/>
      <w:numFmt w:val="bullet"/>
      <w:lvlText w:val="•"/>
      <w:lvlJc w:val="left"/>
      <w:pPr>
        <w:ind w:left="3838"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487" w:hanging="420"/>
      </w:pPr>
      <w:rPr>
        <w:rFonts w:hint="default"/>
        <w:lang w:val="zh-CN" w:eastAsia="zh-CN" w:bidi="zh-CN"/>
      </w:rPr>
    </w:lvl>
    <w:lvl w:ilvl="7" w:tentative="0">
      <w:start w:val="0"/>
      <w:numFmt w:val="bullet"/>
      <w:lvlText w:val="•"/>
      <w:lvlJc w:val="left"/>
      <w:pPr>
        <w:ind w:left="6312" w:hanging="420"/>
      </w:pPr>
      <w:rPr>
        <w:rFonts w:hint="default"/>
        <w:lang w:val="zh-CN" w:eastAsia="zh-CN" w:bidi="zh-CN"/>
      </w:rPr>
    </w:lvl>
    <w:lvl w:ilvl="8" w:tentative="0">
      <w:start w:val="0"/>
      <w:numFmt w:val="bullet"/>
      <w:lvlText w:val="•"/>
      <w:lvlJc w:val="left"/>
      <w:pPr>
        <w:ind w:left="7137" w:hanging="420"/>
      </w:pPr>
      <w:rPr>
        <w:rFonts w:hint="default"/>
        <w:lang w:val="zh-CN" w:eastAsia="zh-CN" w:bidi="zh-CN"/>
      </w:rPr>
    </w:lvl>
  </w:abstractNum>
  <w:abstractNum w:abstractNumId="1">
    <w:nsid w:val="BF205925"/>
    <w:multiLevelType w:val="multilevel"/>
    <w:tmpl w:val="BF205925"/>
    <w:lvl w:ilvl="0" w:tentative="0">
      <w:start w:val="4"/>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4">
    <w:nsid w:val="25B654F3"/>
    <w:multiLevelType w:val="multilevel"/>
    <w:tmpl w:val="25B654F3"/>
    <w:lvl w:ilvl="0" w:tentative="0">
      <w:start w:val="8"/>
      <w:numFmt w:val="decimal"/>
      <w:lvlText w:val="%1"/>
      <w:lvlJc w:val="left"/>
      <w:pPr>
        <w:ind w:left="540" w:hanging="420"/>
      </w:pPr>
      <w:rPr>
        <w:rFonts w:hint="default"/>
        <w:lang w:val="zh-CN" w:eastAsia="zh-CN" w:bidi="zh-CN"/>
      </w:rPr>
    </w:lvl>
    <w:lvl w:ilvl="1" w:tentative="0">
      <w:start w:val="1"/>
      <w:numFmt w:val="decimal"/>
      <w:lvlText w:val="%1.%2"/>
      <w:lvlJc w:val="left"/>
      <w:pPr>
        <w:ind w:left="54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189" w:hanging="420"/>
      </w:pPr>
      <w:rPr>
        <w:rFonts w:hint="default"/>
        <w:lang w:val="zh-CN" w:eastAsia="zh-CN" w:bidi="zh-CN"/>
      </w:rPr>
    </w:lvl>
    <w:lvl w:ilvl="3" w:tentative="0">
      <w:start w:val="0"/>
      <w:numFmt w:val="bullet"/>
      <w:lvlText w:val="•"/>
      <w:lvlJc w:val="left"/>
      <w:pPr>
        <w:ind w:left="3013" w:hanging="420"/>
      </w:pPr>
      <w:rPr>
        <w:rFonts w:hint="default"/>
        <w:lang w:val="zh-CN" w:eastAsia="zh-CN" w:bidi="zh-CN"/>
      </w:rPr>
    </w:lvl>
    <w:lvl w:ilvl="4" w:tentative="0">
      <w:start w:val="0"/>
      <w:numFmt w:val="bullet"/>
      <w:lvlText w:val="•"/>
      <w:lvlJc w:val="left"/>
      <w:pPr>
        <w:ind w:left="3838"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487" w:hanging="420"/>
      </w:pPr>
      <w:rPr>
        <w:rFonts w:hint="default"/>
        <w:lang w:val="zh-CN" w:eastAsia="zh-CN" w:bidi="zh-CN"/>
      </w:rPr>
    </w:lvl>
    <w:lvl w:ilvl="7" w:tentative="0">
      <w:start w:val="0"/>
      <w:numFmt w:val="bullet"/>
      <w:lvlText w:val="•"/>
      <w:lvlJc w:val="left"/>
      <w:pPr>
        <w:ind w:left="6312" w:hanging="420"/>
      </w:pPr>
      <w:rPr>
        <w:rFonts w:hint="default"/>
        <w:lang w:val="zh-CN" w:eastAsia="zh-CN" w:bidi="zh-CN"/>
      </w:rPr>
    </w:lvl>
    <w:lvl w:ilvl="8" w:tentative="0">
      <w:start w:val="0"/>
      <w:numFmt w:val="bullet"/>
      <w:lvlText w:val="•"/>
      <w:lvlJc w:val="left"/>
      <w:pPr>
        <w:ind w:left="7137" w:hanging="420"/>
      </w:pPr>
      <w:rPr>
        <w:rFonts w:hint="default"/>
        <w:lang w:val="zh-CN" w:eastAsia="zh-CN" w:bidi="zh-C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NzA5MzI3NzFjMDM3ZTY3YWNkZTAyZDBkODAzMDIifQ=="/>
    <w:docVar w:name="KSO_WPS_MARK_KEY" w:val="8d835f07-05bc-4e33-b674-ae89916771a2"/>
  </w:docVars>
  <w:rsids>
    <w:rsidRoot w:val="00290920"/>
    <w:rsid w:val="000278DC"/>
    <w:rsid w:val="00032473"/>
    <w:rsid w:val="000414FB"/>
    <w:rsid w:val="000579A5"/>
    <w:rsid w:val="00063023"/>
    <w:rsid w:val="00066EC5"/>
    <w:rsid w:val="000763E9"/>
    <w:rsid w:val="000C6A7D"/>
    <w:rsid w:val="000D0688"/>
    <w:rsid w:val="001175B4"/>
    <w:rsid w:val="00132698"/>
    <w:rsid w:val="00133015"/>
    <w:rsid w:val="00155C47"/>
    <w:rsid w:val="001C1FC1"/>
    <w:rsid w:val="001D376F"/>
    <w:rsid w:val="001E006E"/>
    <w:rsid w:val="001E1AAD"/>
    <w:rsid w:val="002156C3"/>
    <w:rsid w:val="00221674"/>
    <w:rsid w:val="00244132"/>
    <w:rsid w:val="0026017D"/>
    <w:rsid w:val="00263C61"/>
    <w:rsid w:val="00263C88"/>
    <w:rsid w:val="00266EE3"/>
    <w:rsid w:val="002704DC"/>
    <w:rsid w:val="002903F9"/>
    <w:rsid w:val="00290920"/>
    <w:rsid w:val="002E4DCC"/>
    <w:rsid w:val="002E4E1B"/>
    <w:rsid w:val="002E5836"/>
    <w:rsid w:val="0030225B"/>
    <w:rsid w:val="00313FC6"/>
    <w:rsid w:val="00314F32"/>
    <w:rsid w:val="0033239A"/>
    <w:rsid w:val="00333CDD"/>
    <w:rsid w:val="00352A54"/>
    <w:rsid w:val="0036038A"/>
    <w:rsid w:val="00376968"/>
    <w:rsid w:val="0037720E"/>
    <w:rsid w:val="003A0DB5"/>
    <w:rsid w:val="003D04CD"/>
    <w:rsid w:val="003F6CFA"/>
    <w:rsid w:val="0040402E"/>
    <w:rsid w:val="00405E2E"/>
    <w:rsid w:val="00436F89"/>
    <w:rsid w:val="00440CA5"/>
    <w:rsid w:val="00466356"/>
    <w:rsid w:val="00467DCB"/>
    <w:rsid w:val="0048542D"/>
    <w:rsid w:val="004900E6"/>
    <w:rsid w:val="004922A4"/>
    <w:rsid w:val="004A161E"/>
    <w:rsid w:val="004C3541"/>
    <w:rsid w:val="004C5EF7"/>
    <w:rsid w:val="004C63C2"/>
    <w:rsid w:val="004C70E1"/>
    <w:rsid w:val="004D63C4"/>
    <w:rsid w:val="004F1C97"/>
    <w:rsid w:val="004F1D71"/>
    <w:rsid w:val="005046FD"/>
    <w:rsid w:val="00510146"/>
    <w:rsid w:val="00525EB3"/>
    <w:rsid w:val="00537551"/>
    <w:rsid w:val="005670A0"/>
    <w:rsid w:val="005831C0"/>
    <w:rsid w:val="005B134C"/>
    <w:rsid w:val="005C44A5"/>
    <w:rsid w:val="005D66B7"/>
    <w:rsid w:val="005E0325"/>
    <w:rsid w:val="00612761"/>
    <w:rsid w:val="0062192F"/>
    <w:rsid w:val="006511E0"/>
    <w:rsid w:val="00687D11"/>
    <w:rsid w:val="006C39B4"/>
    <w:rsid w:val="006C4684"/>
    <w:rsid w:val="006E5587"/>
    <w:rsid w:val="0070294B"/>
    <w:rsid w:val="007103E9"/>
    <w:rsid w:val="00724FE4"/>
    <w:rsid w:val="00735579"/>
    <w:rsid w:val="00766F3F"/>
    <w:rsid w:val="00774550"/>
    <w:rsid w:val="0077723D"/>
    <w:rsid w:val="007816F0"/>
    <w:rsid w:val="007A23A3"/>
    <w:rsid w:val="007B3F37"/>
    <w:rsid w:val="007B7DB6"/>
    <w:rsid w:val="007C6B63"/>
    <w:rsid w:val="007E5EB5"/>
    <w:rsid w:val="00825F7C"/>
    <w:rsid w:val="00866AFB"/>
    <w:rsid w:val="008904FE"/>
    <w:rsid w:val="008B35E9"/>
    <w:rsid w:val="008C6E32"/>
    <w:rsid w:val="008D23AE"/>
    <w:rsid w:val="008F71D5"/>
    <w:rsid w:val="009033D2"/>
    <w:rsid w:val="00914DD8"/>
    <w:rsid w:val="00934E9D"/>
    <w:rsid w:val="009364BF"/>
    <w:rsid w:val="00963BF3"/>
    <w:rsid w:val="009A0267"/>
    <w:rsid w:val="009C1E21"/>
    <w:rsid w:val="009C7DA2"/>
    <w:rsid w:val="009D4009"/>
    <w:rsid w:val="009F692A"/>
    <w:rsid w:val="00A033EB"/>
    <w:rsid w:val="00A0460E"/>
    <w:rsid w:val="00A46435"/>
    <w:rsid w:val="00A616F0"/>
    <w:rsid w:val="00A84577"/>
    <w:rsid w:val="00AA3B11"/>
    <w:rsid w:val="00AB12C6"/>
    <w:rsid w:val="00AD3415"/>
    <w:rsid w:val="00B04DFD"/>
    <w:rsid w:val="00B10FBE"/>
    <w:rsid w:val="00B40D99"/>
    <w:rsid w:val="00B50488"/>
    <w:rsid w:val="00B82100"/>
    <w:rsid w:val="00BA7912"/>
    <w:rsid w:val="00BD1A31"/>
    <w:rsid w:val="00BD5D5F"/>
    <w:rsid w:val="00BE263E"/>
    <w:rsid w:val="00BF1915"/>
    <w:rsid w:val="00BF54B2"/>
    <w:rsid w:val="00C53042"/>
    <w:rsid w:val="00C7250B"/>
    <w:rsid w:val="00C87009"/>
    <w:rsid w:val="00CB539F"/>
    <w:rsid w:val="00CF08BE"/>
    <w:rsid w:val="00D10E9E"/>
    <w:rsid w:val="00D15940"/>
    <w:rsid w:val="00D26976"/>
    <w:rsid w:val="00D43431"/>
    <w:rsid w:val="00D43AC4"/>
    <w:rsid w:val="00D67F19"/>
    <w:rsid w:val="00D825CA"/>
    <w:rsid w:val="00D96750"/>
    <w:rsid w:val="00DA2334"/>
    <w:rsid w:val="00DF7453"/>
    <w:rsid w:val="00E17C27"/>
    <w:rsid w:val="00E20AA2"/>
    <w:rsid w:val="00E228B5"/>
    <w:rsid w:val="00E44041"/>
    <w:rsid w:val="00E4585B"/>
    <w:rsid w:val="00E676F7"/>
    <w:rsid w:val="00E93DD6"/>
    <w:rsid w:val="00EC0C64"/>
    <w:rsid w:val="00EE2561"/>
    <w:rsid w:val="00EE28D9"/>
    <w:rsid w:val="00EE57D0"/>
    <w:rsid w:val="00F051A3"/>
    <w:rsid w:val="00F74D0C"/>
    <w:rsid w:val="00F92607"/>
    <w:rsid w:val="00FA73EE"/>
    <w:rsid w:val="00FB1115"/>
    <w:rsid w:val="00FB340A"/>
    <w:rsid w:val="00FB3464"/>
    <w:rsid w:val="00FB62EB"/>
    <w:rsid w:val="00FD0B26"/>
    <w:rsid w:val="08BD6EB0"/>
    <w:rsid w:val="0C130028"/>
    <w:rsid w:val="0FE35D42"/>
    <w:rsid w:val="158B28EF"/>
    <w:rsid w:val="16A67EC5"/>
    <w:rsid w:val="193366D3"/>
    <w:rsid w:val="22544D47"/>
    <w:rsid w:val="2B8A371D"/>
    <w:rsid w:val="2ED51684"/>
    <w:rsid w:val="2FF5681A"/>
    <w:rsid w:val="38E41F55"/>
    <w:rsid w:val="42426BD9"/>
    <w:rsid w:val="567D3FBF"/>
    <w:rsid w:val="59044790"/>
    <w:rsid w:val="594C43FA"/>
    <w:rsid w:val="62E97EC7"/>
    <w:rsid w:val="757423F0"/>
    <w:rsid w:val="7B3240D9"/>
    <w:rsid w:val="7D661159"/>
    <w:rsid w:val="7E072FBB"/>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20"/>
      <w:outlineLvl w:val="0"/>
    </w:pPr>
    <w:rPr>
      <w:sz w:val="28"/>
      <w:szCs w:val="28"/>
    </w:rPr>
  </w:style>
  <w:style w:type="paragraph" w:styleId="4">
    <w:name w:val="heading 2"/>
    <w:basedOn w:val="1"/>
    <w:next w:val="1"/>
    <w:qFormat/>
    <w:uiPriority w:val="1"/>
    <w:pPr>
      <w:ind w:right="240"/>
      <w:jc w:val="center"/>
      <w:outlineLvl w:val="1"/>
    </w:pPr>
    <w:rPr>
      <w:b/>
      <w:bCs/>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表格文字"/>
    <w:qFormat/>
    <w:uiPriority w:val="0"/>
    <w:pPr>
      <w:widowControl w:val="0"/>
      <w:autoSpaceDE w:val="0"/>
      <w:autoSpaceDN w:val="0"/>
      <w:adjustRightInd w:val="0"/>
    </w:pPr>
    <w:rPr>
      <w:rFonts w:hint="eastAsia" w:ascii="MingLiU" w:hAnsi="Calibri" w:eastAsia="MingLiU" w:cs="Times New Roman"/>
      <w:color w:val="000000"/>
      <w:sz w:val="24"/>
      <w:lang w:val="en-US" w:eastAsia="zh-TW" w:bidi="ar-SA"/>
    </w:rPr>
  </w:style>
  <w:style w:type="paragraph" w:styleId="5">
    <w:name w:val="Body Text"/>
    <w:basedOn w:val="1"/>
    <w:qFormat/>
    <w:uiPriority w:val="1"/>
    <w:pPr>
      <w:ind w:left="120"/>
    </w:pPr>
    <w:rPr>
      <w:sz w:val="24"/>
      <w:szCs w:val="24"/>
    </w:rPr>
  </w:style>
  <w:style w:type="paragraph" w:styleId="6">
    <w:name w:val="Plain Text"/>
    <w:basedOn w:val="1"/>
    <w:link w:val="24"/>
    <w:qFormat/>
    <w:uiPriority w:val="0"/>
    <w:pPr>
      <w:autoSpaceDE/>
      <w:autoSpaceDN/>
      <w:jc w:val="both"/>
    </w:pPr>
    <w:rPr>
      <w:rFonts w:hAnsi="Courier New" w:cs="Times New Roman"/>
      <w:kern w:val="2"/>
      <w:sz w:val="21"/>
      <w:szCs w:val="24"/>
      <w:lang w:val="en-US" w:bidi="ar-SA"/>
    </w:rPr>
  </w:style>
  <w:style w:type="paragraph" w:styleId="7">
    <w:name w:val="Balloon Text"/>
    <w:basedOn w:val="1"/>
    <w:link w:val="22"/>
    <w:qFormat/>
    <w:uiPriority w:val="0"/>
    <w:rPr>
      <w:sz w:val="18"/>
      <w:szCs w:val="18"/>
    </w:rPr>
  </w:style>
  <w:style w:type="paragraph" w:styleId="8">
    <w:name w:val="footer"/>
    <w:basedOn w:val="1"/>
    <w:link w:val="20"/>
    <w:qFormat/>
    <w:uiPriority w:val="0"/>
    <w:pPr>
      <w:tabs>
        <w:tab w:val="center" w:pos="4153"/>
        <w:tab w:val="right" w:pos="8306"/>
      </w:tabs>
      <w:snapToGrid w:val="0"/>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316"/>
      <w:ind w:right="238"/>
      <w:jc w:val="center"/>
    </w:pPr>
    <w:rPr>
      <w:sz w:val="24"/>
      <w:szCs w:val="24"/>
    </w:rPr>
  </w:style>
  <w:style w:type="paragraph" w:styleId="11">
    <w:name w:val="Normal (Web)"/>
    <w:basedOn w:val="1"/>
    <w:qFormat/>
    <w:uiPriority w:val="0"/>
    <w:pPr>
      <w:widowControl/>
      <w:spacing w:before="100" w:beforeAutospacing="1" w:after="100" w:afterAutospacing="1"/>
    </w:pPr>
    <w:rPr>
      <w:rFonts w:ascii="宋体" w:hAnsi="宋体" w:eastAsia="宋体" w:cs="宋体"/>
      <w:kern w:val="0"/>
      <w:szCs w:val="24"/>
      <w:lang w:eastAsia="zh-CN"/>
    </w:rPr>
  </w:style>
  <w:style w:type="character" w:styleId="14">
    <w:name w:val="Hyperlink"/>
    <w:basedOn w:val="13"/>
    <w:unhideWhenUsed/>
    <w:qFormat/>
    <w:uiPriority w:val="99"/>
    <w:rPr>
      <w:color w:val="0000FF" w:themeColor="hyperlink"/>
      <w:u w:val="single"/>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4"/>
      <w:ind w:left="540" w:hanging="420"/>
    </w:pPr>
  </w:style>
  <w:style w:type="paragraph" w:customStyle="1" w:styleId="17">
    <w:name w:val="Table Paragraph"/>
    <w:basedOn w:val="1"/>
    <w:qFormat/>
    <w:uiPriority w:val="1"/>
    <w:pPr>
      <w:spacing w:before="156"/>
      <w:ind w:left="112"/>
    </w:p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页眉 字符"/>
    <w:basedOn w:val="13"/>
    <w:link w:val="9"/>
    <w:qFormat/>
    <w:uiPriority w:val="0"/>
    <w:rPr>
      <w:rFonts w:ascii="宋体" w:hAnsi="宋体" w:cs="宋体"/>
      <w:sz w:val="18"/>
      <w:szCs w:val="18"/>
      <w:lang w:val="zh-CN" w:bidi="zh-CN"/>
    </w:rPr>
  </w:style>
  <w:style w:type="character" w:customStyle="1" w:styleId="20">
    <w:name w:val="页脚 字符"/>
    <w:basedOn w:val="13"/>
    <w:link w:val="8"/>
    <w:qFormat/>
    <w:uiPriority w:val="0"/>
    <w:rPr>
      <w:rFonts w:ascii="宋体" w:hAnsi="宋体" w:cs="宋体"/>
      <w:sz w:val="18"/>
      <w:szCs w:val="18"/>
      <w:lang w:val="zh-CN" w:bidi="zh-CN"/>
    </w:rPr>
  </w:style>
  <w:style w:type="paragraph" w:customStyle="1" w:styleId="21">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66091" w:themeColor="accent1" w:themeShade="BF"/>
      <w:sz w:val="32"/>
      <w:szCs w:val="32"/>
      <w:lang w:val="en-US" w:bidi="ar-SA"/>
    </w:rPr>
  </w:style>
  <w:style w:type="character" w:customStyle="1" w:styleId="22">
    <w:name w:val="批注框文本 字符"/>
    <w:basedOn w:val="13"/>
    <w:link w:val="7"/>
    <w:qFormat/>
    <w:uiPriority w:val="0"/>
    <w:rPr>
      <w:rFonts w:ascii="宋体" w:hAnsi="宋体" w:cs="宋体"/>
      <w:sz w:val="18"/>
      <w:szCs w:val="18"/>
      <w:lang w:val="zh-CN" w:bidi="zh-CN"/>
    </w:rPr>
  </w:style>
  <w:style w:type="paragraph" w:customStyle="1" w:styleId="23">
    <w:name w:val="Heading 11"/>
    <w:basedOn w:val="1"/>
    <w:qFormat/>
    <w:uiPriority w:val="99"/>
    <w:pPr>
      <w:autoSpaceDE/>
      <w:autoSpaceDN/>
      <w:outlineLvl w:val="1"/>
    </w:pPr>
    <w:rPr>
      <w:rFonts w:ascii="黑体" w:hAnsi="黑体" w:eastAsia="黑体" w:cs="Times New Roman"/>
      <w:sz w:val="32"/>
      <w:szCs w:val="32"/>
      <w:lang w:val="en-US" w:eastAsia="en-US" w:bidi="ar-SA"/>
    </w:rPr>
  </w:style>
  <w:style w:type="character" w:customStyle="1" w:styleId="24">
    <w:name w:val="纯文本 字符"/>
    <w:basedOn w:val="13"/>
    <w:link w:val="6"/>
    <w:qFormat/>
    <w:uiPriority w:val="0"/>
    <w:rPr>
      <w:rFonts w:ascii="宋体" w:hAnsi="Courier New"/>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016E1D-C349-4D37-814B-0ACB1CBD9828}">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24</Pages>
  <Words>14760</Words>
  <Characters>14891</Characters>
  <Lines>115</Lines>
  <Paragraphs>32</Paragraphs>
  <TotalTime>25</TotalTime>
  <ScaleCrop>false</ScaleCrop>
  <LinksUpToDate>false</LinksUpToDate>
  <CharactersWithSpaces>14952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2019-06-04T02:04:00Z</dcterms:created>
  <dc:creator>尚丹</dc:creator>
  <cp:lastModifiedBy>青燕儿</cp:lastModifiedBy>
  <cp:lastPrinted>2019-11-19T12:09:00Z</cp:lastPrinted>
  <dcterms:modified xsi:type="dcterms:W3CDTF">2024-06-17T08:55:46Z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2052-12.1.0.16929</vt:lpwstr>
  </property>
  <property fmtid="{D5CDD505-2E9C-101B-9397-08002B2CF9AE}" pid="6" name="ICV">
    <vt:lpwstr>05CFAF87EA2E4E1A9B966B6174C1C44E_13</vt:lpwstr>
  </property>
</Properties>
</file>