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sz w:val="44"/>
          <w:szCs w:val="44"/>
          <w:lang w:eastAsia="zh-CN"/>
        </w:rPr>
      </w:pPr>
      <w:bookmarkStart w:id="29" w:name="_GoBack"/>
      <w:bookmarkEnd w:id="29"/>
    </w:p>
    <w:p>
      <w:pPr>
        <w:spacing w:line="360" w:lineRule="auto"/>
        <w:ind w:left="2723"/>
        <w:rPr>
          <w:rFonts w:hint="eastAsia" w:ascii="黑体" w:hAnsi="黑体" w:eastAsia="黑体" w:cs="黑体"/>
          <w:sz w:val="72"/>
          <w:szCs w:val="72"/>
          <w:lang w:eastAsia="zh-CN"/>
        </w:rPr>
      </w:pPr>
    </w:p>
    <w:p>
      <w:pPr>
        <w:spacing w:line="360" w:lineRule="auto"/>
        <w:ind w:left="2723"/>
        <w:rPr>
          <w:rFonts w:ascii="黑体" w:hAnsi="黑体" w:eastAsia="黑体" w:cs="黑体"/>
          <w:sz w:val="72"/>
          <w:szCs w:val="72"/>
          <w:lang w:eastAsia="zh-CN"/>
        </w:rPr>
      </w:pP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pPr>
        <w:jc w:val="center"/>
        <w:rPr>
          <w:sz w:val="44"/>
          <w:szCs w:val="44"/>
          <w:lang w:eastAsia="zh-CN"/>
        </w:rPr>
      </w:pPr>
    </w:p>
    <w:p>
      <w:pPr>
        <w:jc w:val="center"/>
        <w:rPr>
          <w:sz w:val="44"/>
          <w:szCs w:val="44"/>
          <w:lang w:eastAsia="zh-CN"/>
        </w:rPr>
      </w:pPr>
    </w:p>
    <w:p>
      <w:pPr>
        <w:jc w:val="center"/>
        <w:rPr>
          <w:sz w:val="44"/>
          <w:szCs w:val="44"/>
          <w:lang w:eastAsia="zh-CN"/>
        </w:rPr>
      </w:pPr>
    </w:p>
    <w:p>
      <w:pPr>
        <w:jc w:val="center"/>
        <w:rPr>
          <w:sz w:val="44"/>
          <w:szCs w:val="44"/>
          <w:lang w:eastAsia="zh-CN"/>
        </w:rPr>
      </w:pPr>
    </w:p>
    <w:p>
      <w:pPr>
        <w:jc w:val="both"/>
        <w:rPr>
          <w:sz w:val="44"/>
          <w:szCs w:val="44"/>
          <w:lang w:eastAsia="zh-CN"/>
        </w:rPr>
      </w:pPr>
    </w:p>
    <w:p>
      <w:pPr>
        <w:pStyle w:val="2"/>
        <w:rPr>
          <w:sz w:val="44"/>
          <w:szCs w:val="44"/>
          <w:lang w:eastAsia="zh-CN"/>
        </w:rPr>
      </w:pPr>
    </w:p>
    <w:p>
      <w:pPr>
        <w:pStyle w:val="2"/>
        <w:rPr>
          <w:sz w:val="44"/>
          <w:szCs w:val="44"/>
          <w:lang w:eastAsia="zh-CN"/>
        </w:rPr>
      </w:pPr>
    </w:p>
    <w:p>
      <w:pPr>
        <w:pStyle w:val="2"/>
        <w:rPr>
          <w:sz w:val="44"/>
          <w:szCs w:val="44"/>
          <w:lang w:eastAsia="zh-CN"/>
        </w:rPr>
      </w:pPr>
    </w:p>
    <w:p>
      <w:pPr>
        <w:pStyle w:val="2"/>
        <w:rPr>
          <w:sz w:val="44"/>
          <w:szCs w:val="44"/>
          <w:lang w:eastAsia="zh-CN"/>
        </w:rPr>
      </w:pPr>
    </w:p>
    <w:p>
      <w:pPr>
        <w:pStyle w:val="2"/>
        <w:rPr>
          <w:sz w:val="44"/>
          <w:szCs w:val="44"/>
          <w:lang w:eastAsia="zh-CN"/>
        </w:rPr>
      </w:pPr>
    </w:p>
    <w:p>
      <w:pPr>
        <w:pStyle w:val="2"/>
        <w:rPr>
          <w:sz w:val="44"/>
          <w:szCs w:val="44"/>
          <w:lang w:eastAsia="zh-CN"/>
        </w:rPr>
      </w:pPr>
    </w:p>
    <w:p>
      <w:pPr>
        <w:pStyle w:val="2"/>
        <w:rPr>
          <w:sz w:val="44"/>
          <w:szCs w:val="44"/>
          <w:lang w:eastAsia="zh-CN"/>
        </w:rPr>
      </w:pPr>
    </w:p>
    <w:p>
      <w:pPr>
        <w:pStyle w:val="2"/>
        <w:rPr>
          <w:lang w:eastAsia="zh-CN"/>
        </w:rPr>
      </w:pPr>
    </w:p>
    <w:p>
      <w:pPr>
        <w:spacing w:line="360" w:lineRule="auto"/>
        <w:ind w:firstLine="1687" w:firstLineChars="350"/>
        <w:jc w:val="both"/>
        <w:rPr>
          <w:sz w:val="44"/>
          <w:szCs w:val="44"/>
          <w:lang w:eastAsia="zh-CN"/>
        </w:rPr>
      </w:pPr>
      <w:r>
        <w:rPr>
          <w:rFonts w:hint="eastAsia"/>
          <w:b/>
          <w:sz w:val="48"/>
          <w:szCs w:val="48"/>
          <w:lang w:eastAsia="zh-CN"/>
        </w:rPr>
        <w:t>温州市瓯海大鸿运箱包有限公司</w:t>
      </w:r>
    </w:p>
    <w:p>
      <w:pPr>
        <w:spacing w:line="360" w:lineRule="auto"/>
        <w:jc w:val="center"/>
        <w:rPr>
          <w:rFonts w:hint="eastAsia" w:ascii="楷体" w:hAnsi="楷体" w:eastAsia="楷体"/>
          <w:sz w:val="48"/>
          <w:szCs w:val="44"/>
          <w:lang w:eastAsia="zh-CN"/>
        </w:rPr>
      </w:pPr>
    </w:p>
    <w:p>
      <w:pPr>
        <w:spacing w:line="360" w:lineRule="auto"/>
        <w:jc w:val="center"/>
        <w:rPr>
          <w:rFonts w:ascii="楷体" w:hAnsi="楷体" w:eastAsia="楷体"/>
          <w:sz w:val="48"/>
          <w:szCs w:val="44"/>
          <w:lang w:eastAsia="zh-CN"/>
        </w:rPr>
      </w:pPr>
      <w:r>
        <w:rPr>
          <w:rFonts w:hint="eastAsia" w:ascii="楷体" w:hAnsi="楷体" w:eastAsia="楷体"/>
          <w:sz w:val="48"/>
          <w:szCs w:val="44"/>
          <w:lang w:eastAsia="zh-CN"/>
        </w:rPr>
        <w:t>二0二</w:t>
      </w:r>
      <w:r>
        <w:rPr>
          <w:rFonts w:hint="eastAsia" w:ascii="楷体" w:hAnsi="楷体" w:eastAsia="楷体"/>
          <w:sz w:val="48"/>
          <w:szCs w:val="44"/>
          <w:lang w:val="en-US" w:eastAsia="zh-CN"/>
        </w:rPr>
        <w:t>二</w:t>
      </w:r>
      <w:r>
        <w:rPr>
          <w:rFonts w:hint="eastAsia" w:ascii="楷体" w:hAnsi="楷体" w:eastAsia="楷体"/>
          <w:sz w:val="48"/>
          <w:szCs w:val="44"/>
          <w:lang w:eastAsia="zh-CN"/>
        </w:rPr>
        <w:t>年</w:t>
      </w:r>
      <w:r>
        <w:rPr>
          <w:rFonts w:hint="eastAsia" w:ascii="楷体" w:hAnsi="楷体" w:eastAsia="楷体"/>
          <w:sz w:val="48"/>
          <w:szCs w:val="44"/>
          <w:lang w:val="en-US" w:eastAsia="zh-CN"/>
        </w:rPr>
        <w:t>十一</w:t>
      </w:r>
      <w:r>
        <w:rPr>
          <w:rFonts w:hint="eastAsia" w:ascii="楷体" w:hAnsi="楷体" w:eastAsia="楷体"/>
          <w:sz w:val="48"/>
          <w:szCs w:val="44"/>
          <w:lang w:eastAsia="zh-CN"/>
        </w:rPr>
        <w:t>月</w:t>
      </w:r>
    </w:p>
    <w:p>
      <w:pPr>
        <w:jc w:val="center"/>
        <w:rPr>
          <w:rFonts w:ascii="楷体" w:hAnsi="楷体" w:eastAsia="楷体"/>
          <w:sz w:val="48"/>
          <w:szCs w:val="44"/>
          <w:lang w:eastAsia="zh-CN"/>
        </w:rPr>
      </w:pPr>
    </w:p>
    <w:p>
      <w:pPr>
        <w:spacing w:line="300" w:lineRule="exact"/>
        <w:jc w:val="center"/>
        <w:rPr>
          <w:rFonts w:ascii="Times New Roman" w:hAnsi="Times New Roman"/>
          <w:sz w:val="24"/>
          <w:szCs w:val="24"/>
          <w:lang w:eastAsia="zh-CN"/>
        </w:rPr>
      </w:pPr>
    </w:p>
    <w:sdt>
      <w:sdtPr>
        <w:rPr>
          <w:rFonts w:ascii="宋体" w:hAnsi="宋体"/>
          <w:sz w:val="21"/>
          <w:szCs w:val="20"/>
          <w:lang w:eastAsia="zh-CN"/>
        </w:rPr>
        <w:id w:val="462245790"/>
        <w:docPartObj>
          <w:docPartGallery w:val="Table of Contents"/>
          <w:docPartUnique/>
        </w:docPartObj>
      </w:sdtPr>
      <w:sdtEndPr>
        <w:rPr>
          <w:rFonts w:ascii="宋体" w:hAnsi="宋体"/>
          <w:b/>
          <w:bCs/>
          <w:sz w:val="20"/>
          <w:szCs w:val="20"/>
          <w:lang w:eastAsia="zh-CN"/>
        </w:rPr>
      </w:sdtEndPr>
      <w:sdtContent>
        <w:p>
          <w:pPr>
            <w:jc w:val="center"/>
            <w:rPr>
              <w:lang w:eastAsia="zh-CN"/>
            </w:rPr>
          </w:pPr>
          <w:bookmarkStart w:id="0" w:name="_Toc19657_WPSOffice_Type2"/>
          <w:r>
            <w:rPr>
              <w:rFonts w:ascii="宋体" w:hAnsi="宋体"/>
              <w:b/>
              <w:bCs/>
              <w:sz w:val="40"/>
              <w:szCs w:val="44"/>
              <w:lang w:eastAsia="zh-CN"/>
            </w:rPr>
            <w:t>目录</w:t>
          </w:r>
        </w:p>
        <w:bookmarkEnd w:id="0"/>
        <w:p>
          <w:pPr>
            <w:pStyle w:val="19"/>
            <w:tabs>
              <w:tab w:val="right" w:leader="dot" w:pos="9397"/>
            </w:tabs>
            <w:spacing w:line="360" w:lineRule="auto"/>
            <w:rPr>
              <w:rFonts w:ascii="宋体" w:hAnsi="宋体" w:cstheme="minorBidi"/>
              <w:b/>
              <w:bCs/>
              <w:smallCaps w:val="0"/>
              <w:kern w:val="2"/>
              <w:sz w:val="24"/>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"_Toc24912735" </w:instrText>
          </w:r>
          <w:r>
            <w:fldChar w:fldCharType="separate"/>
          </w:r>
          <w:r>
            <w:rPr>
              <w:rStyle w:val="25"/>
              <w:rFonts w:ascii="宋体" w:hAnsi="宋体" w:cs="黑体"/>
              <w:b/>
              <w:bCs/>
              <w:sz w:val="24"/>
              <w:szCs w:val="24"/>
              <w:lang w:eastAsia="zh-CN"/>
            </w:rPr>
            <w:t>第一部分 前 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_Toc24912735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"_Toc24912736" </w:instrText>
          </w:r>
          <w:r>
            <w:fldChar w:fldCharType="separate"/>
          </w:r>
          <w:r>
            <w:rPr>
              <w:rStyle w:val="25"/>
              <w:rFonts w:ascii="宋体" w:hAnsi="宋体"/>
              <w:b/>
              <w:bCs/>
              <w:sz w:val="24"/>
              <w:szCs w:val="24"/>
              <w:lang w:eastAsia="zh-CN"/>
            </w:rPr>
            <w:t>1.1 编制说明</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_Toc24912736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"_Toc24912737" </w:instrText>
          </w:r>
          <w:r>
            <w:fldChar w:fldCharType="separate"/>
          </w:r>
          <w:r>
            <w:rPr>
              <w:rStyle w:val="25"/>
              <w:rFonts w:ascii="宋体" w:hAnsi="宋体"/>
              <w:b/>
              <w:bCs/>
              <w:sz w:val="24"/>
              <w:szCs w:val="24"/>
              <w:lang w:eastAsia="zh-CN"/>
            </w:rPr>
            <w:t>1.2 董事长致辞</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_Toc24912737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"_Toc24912738" </w:instrText>
          </w:r>
          <w:r>
            <w:fldChar w:fldCharType="separate"/>
          </w:r>
          <w:r>
            <w:rPr>
              <w:rStyle w:val="25"/>
              <w:rFonts w:ascii="宋体" w:hAnsi="宋体"/>
              <w:b/>
              <w:bCs/>
              <w:sz w:val="24"/>
              <w:szCs w:val="24"/>
              <w:lang w:eastAsia="zh-CN"/>
            </w:rPr>
            <w:t>1.3 企业简介</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_Toc24912738 \h </w:instrText>
          </w:r>
          <w:r>
            <w:rPr>
              <w:rFonts w:ascii="宋体" w:hAnsi="宋体"/>
              <w:b/>
              <w:bCs/>
              <w:sz w:val="24"/>
              <w:szCs w:val="24"/>
            </w:rPr>
            <w:fldChar w:fldCharType="separate"/>
          </w:r>
          <w:r>
            <w:rPr>
              <w:rFonts w:ascii="宋体" w:hAnsi="宋体"/>
              <w:b/>
              <w:bCs/>
              <w:sz w:val="24"/>
              <w:szCs w:val="24"/>
            </w:rPr>
            <w:t>5</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"_Toc24912739" </w:instrText>
          </w:r>
          <w:r>
            <w:fldChar w:fldCharType="separate"/>
          </w:r>
          <w:r>
            <w:rPr>
              <w:rStyle w:val="25"/>
              <w:rFonts w:ascii="宋体" w:hAnsi="宋体"/>
              <w:b/>
              <w:bCs/>
              <w:sz w:val="24"/>
              <w:szCs w:val="24"/>
              <w:lang w:eastAsia="zh-CN"/>
            </w:rPr>
            <w:t>第二部分 报告正文</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_Toc24912739 \h </w:instrText>
          </w:r>
          <w:r>
            <w:rPr>
              <w:rFonts w:ascii="宋体" w:hAnsi="宋体"/>
              <w:b/>
              <w:bCs/>
              <w:sz w:val="24"/>
              <w:szCs w:val="24"/>
            </w:rPr>
            <w:fldChar w:fldCharType="separate"/>
          </w:r>
          <w:r>
            <w:rPr>
              <w:rFonts w:ascii="宋体" w:hAnsi="宋体"/>
              <w:b/>
              <w:bCs/>
              <w:sz w:val="24"/>
              <w:szCs w:val="24"/>
            </w:rPr>
            <w:t>6</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"_Toc24912740" </w:instrText>
          </w:r>
          <w:r>
            <w:fldChar w:fldCharType="separate"/>
          </w:r>
          <w:r>
            <w:rPr>
              <w:rStyle w:val="25"/>
              <w:rFonts w:ascii="宋体" w:hAnsi="宋体"/>
              <w:b/>
              <w:bCs/>
              <w:sz w:val="24"/>
              <w:szCs w:val="24"/>
              <w:lang w:eastAsia="zh-CN"/>
            </w:rPr>
            <w:t>第一章  质量理念</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_Toc24912740 \h </w:instrText>
          </w:r>
          <w:r>
            <w:rPr>
              <w:rFonts w:ascii="宋体" w:hAnsi="宋体"/>
              <w:b/>
              <w:bCs/>
              <w:sz w:val="24"/>
              <w:szCs w:val="24"/>
            </w:rPr>
            <w:fldChar w:fldCharType="separate"/>
          </w:r>
          <w:r>
            <w:rPr>
              <w:rFonts w:ascii="宋体" w:hAnsi="宋体"/>
              <w:b/>
              <w:bCs/>
              <w:sz w:val="24"/>
              <w:szCs w:val="24"/>
            </w:rPr>
            <w:t>6</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"_Toc24912741" </w:instrText>
          </w:r>
          <w:r>
            <w:fldChar w:fldCharType="separate"/>
          </w:r>
          <w:r>
            <w:rPr>
              <w:rStyle w:val="25"/>
              <w:rFonts w:ascii="宋体" w:hAnsi="宋体"/>
              <w:b/>
              <w:bCs/>
              <w:spacing w:val="2"/>
              <w:sz w:val="24"/>
              <w:szCs w:val="24"/>
              <w:lang w:eastAsia="zh-CN"/>
            </w:rPr>
            <w:t>第二</w:t>
          </w:r>
          <w:r>
            <w:rPr>
              <w:rStyle w:val="25"/>
              <w:rFonts w:ascii="宋体" w:hAnsi="宋体"/>
              <w:b/>
              <w:bCs/>
              <w:sz w:val="24"/>
              <w:szCs w:val="24"/>
              <w:lang w:eastAsia="zh-CN"/>
            </w:rPr>
            <w:t>章</w:t>
          </w:r>
          <w:r>
            <w:rPr>
              <w:rStyle w:val="25"/>
              <w:rFonts w:hint="eastAsia" w:ascii="宋体" w:hAnsi="宋体"/>
              <w:b/>
              <w:bCs/>
              <w:sz w:val="24"/>
              <w:szCs w:val="24"/>
              <w:lang w:eastAsia="zh-CN"/>
            </w:rPr>
            <w:t xml:space="preserve">  </w:t>
          </w:r>
          <w:r>
            <w:rPr>
              <w:rStyle w:val="25"/>
              <w:rFonts w:ascii="宋体" w:hAnsi="宋体"/>
              <w:b/>
              <w:bCs/>
              <w:spacing w:val="2"/>
              <w:sz w:val="24"/>
              <w:szCs w:val="24"/>
              <w:lang w:eastAsia="zh-CN"/>
            </w:rPr>
            <w:t>质量管</w:t>
          </w:r>
          <w:r>
            <w:rPr>
              <w:rStyle w:val="25"/>
              <w:rFonts w:ascii="宋体" w:hAnsi="宋体"/>
              <w:b/>
              <w:bCs/>
              <w:sz w:val="24"/>
              <w:szCs w:val="24"/>
              <w:lang w:eastAsia="zh-CN"/>
            </w:rPr>
            <w:t>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_Toc24912741 \h </w:instrText>
          </w:r>
          <w:r>
            <w:rPr>
              <w:rFonts w:ascii="宋体" w:hAnsi="宋体"/>
              <w:b/>
              <w:bCs/>
              <w:sz w:val="24"/>
              <w:szCs w:val="24"/>
            </w:rPr>
            <w:fldChar w:fldCharType="separate"/>
          </w:r>
          <w:r>
            <w:rPr>
              <w:rFonts w:ascii="宋体" w:hAnsi="宋体"/>
              <w:b/>
              <w:bCs/>
              <w:sz w:val="24"/>
              <w:szCs w:val="24"/>
            </w:rPr>
            <w:t>7</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"_Toc24912742" </w:instrText>
          </w:r>
          <w:r>
            <w:fldChar w:fldCharType="separate"/>
          </w:r>
          <w:r>
            <w:rPr>
              <w:rStyle w:val="25"/>
              <w:rFonts w:ascii="宋体" w:hAnsi="宋体"/>
              <w:b/>
              <w:bCs/>
              <w:spacing w:val="2"/>
              <w:sz w:val="24"/>
              <w:szCs w:val="24"/>
              <w:lang w:eastAsia="zh-CN"/>
            </w:rPr>
            <w:t>第三</w:t>
          </w:r>
          <w:r>
            <w:rPr>
              <w:rStyle w:val="25"/>
              <w:rFonts w:ascii="宋体" w:hAnsi="宋体"/>
              <w:b/>
              <w:bCs/>
              <w:sz w:val="24"/>
              <w:szCs w:val="24"/>
              <w:lang w:eastAsia="zh-CN"/>
            </w:rPr>
            <w:t>章</w:t>
          </w:r>
          <w:r>
            <w:rPr>
              <w:rStyle w:val="25"/>
              <w:rFonts w:hint="eastAsia" w:ascii="宋体" w:hAnsi="宋体"/>
              <w:b/>
              <w:bCs/>
              <w:sz w:val="24"/>
              <w:szCs w:val="24"/>
              <w:lang w:eastAsia="zh-CN"/>
            </w:rPr>
            <w:t xml:space="preserve">  </w:t>
          </w:r>
          <w:r>
            <w:rPr>
              <w:rStyle w:val="25"/>
              <w:rFonts w:ascii="宋体" w:hAnsi="宋体"/>
              <w:b/>
              <w:bCs/>
              <w:spacing w:val="2"/>
              <w:sz w:val="24"/>
              <w:szCs w:val="24"/>
              <w:lang w:eastAsia="zh-CN"/>
            </w:rPr>
            <w:t>质量诚信管理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_Toc24912742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1</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"_Toc24912743" </w:instrText>
          </w:r>
          <w:r>
            <w:fldChar w:fldCharType="separate"/>
          </w:r>
          <w:r>
            <w:rPr>
              <w:rStyle w:val="25"/>
              <w:rFonts w:ascii="宋体" w:hAnsi="宋体" w:cs="黑体"/>
              <w:b/>
              <w:bCs/>
              <w:sz w:val="24"/>
              <w:szCs w:val="24"/>
              <w:lang w:eastAsia="zh-CN"/>
            </w:rPr>
            <w:t>第四章  质量管理基础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_Toc24912743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6</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9397"/>
            </w:tabs>
            <w:spacing w:line="360" w:lineRule="auto"/>
            <w:rPr>
              <w:lang w:eastAsia="zh-CN"/>
            </w:rPr>
          </w:pPr>
          <w:r>
            <w:fldChar w:fldCharType="begin"/>
          </w:r>
          <w:r>
            <w:instrText xml:space="preserve"> HYPERLINK \l "_Toc24912744" </w:instrText>
          </w:r>
          <w:r>
            <w:fldChar w:fldCharType="separate"/>
          </w:r>
          <w:r>
            <w:rPr>
              <w:rStyle w:val="25"/>
              <w:rFonts w:ascii="宋体" w:hAnsi="宋体"/>
              <w:b/>
              <w:bCs/>
              <w:spacing w:val="2"/>
              <w:sz w:val="24"/>
              <w:szCs w:val="24"/>
              <w:lang w:eastAsia="zh-CN"/>
            </w:rPr>
            <w:t>第五</w:t>
          </w:r>
          <w:r>
            <w:rPr>
              <w:rStyle w:val="25"/>
              <w:rFonts w:ascii="宋体" w:hAnsi="宋体"/>
              <w:b/>
              <w:bCs/>
              <w:sz w:val="24"/>
              <w:szCs w:val="24"/>
              <w:lang w:eastAsia="zh-CN"/>
            </w:rPr>
            <w:t>章</w:t>
          </w:r>
          <w:r>
            <w:rPr>
              <w:rStyle w:val="25"/>
              <w:rFonts w:hint="eastAsia" w:ascii="宋体" w:hAnsi="宋体"/>
              <w:b/>
              <w:bCs/>
              <w:sz w:val="24"/>
              <w:szCs w:val="24"/>
              <w:lang w:eastAsia="zh-CN"/>
            </w:rPr>
            <w:t xml:space="preserve">  </w:t>
          </w:r>
          <w:r>
            <w:rPr>
              <w:rStyle w:val="25"/>
              <w:rFonts w:ascii="宋体" w:hAnsi="宋体"/>
              <w:b/>
              <w:bCs/>
              <w:spacing w:val="2"/>
              <w:sz w:val="24"/>
              <w:szCs w:val="24"/>
              <w:lang w:eastAsia="zh-CN"/>
            </w:rPr>
            <w:t>产品质</w:t>
          </w:r>
          <w:r>
            <w:rPr>
              <w:rStyle w:val="25"/>
              <w:rFonts w:ascii="宋体" w:hAnsi="宋体"/>
              <w:b/>
              <w:bCs/>
              <w:sz w:val="24"/>
              <w:szCs w:val="24"/>
              <w:lang w:eastAsia="zh-CN"/>
            </w:rPr>
            <w:t>量</w:t>
          </w:r>
          <w:r>
            <w:rPr>
              <w:rStyle w:val="25"/>
              <w:rFonts w:ascii="宋体" w:hAnsi="宋体"/>
              <w:b/>
              <w:bCs/>
              <w:spacing w:val="2"/>
              <w:sz w:val="24"/>
              <w:szCs w:val="24"/>
              <w:lang w:eastAsia="zh-CN"/>
            </w:rPr>
            <w:t>责</w:t>
          </w:r>
          <w:r>
            <w:rPr>
              <w:rStyle w:val="25"/>
              <w:rFonts w:ascii="宋体" w:hAnsi="宋体"/>
              <w:b/>
              <w:bCs/>
              <w:sz w:val="24"/>
              <w:szCs w:val="24"/>
              <w:lang w:eastAsia="zh-CN"/>
            </w:rPr>
            <w:t>任</w:t>
          </w:r>
          <w:r>
            <w:rPr>
              <w:rFonts w:ascii="宋体" w:hAnsi="宋体"/>
              <w:b/>
              <w:bCs/>
              <w:sz w:val="24"/>
              <w:szCs w:val="24"/>
            </w:rPr>
            <w:tab/>
          </w:r>
          <w:r>
            <w:rPr>
              <w:rFonts w:hint="eastAsia" w:ascii="宋体" w:hAnsi="宋体"/>
              <w:b/>
              <w:bCs/>
              <w:sz w:val="24"/>
              <w:szCs w:val="24"/>
              <w:lang w:eastAsia="zh-CN"/>
            </w:rPr>
            <w:t>18</w:t>
          </w:r>
          <w:r>
            <w:rPr>
              <w:rFonts w:hint="eastAsia" w:ascii="宋体" w:hAnsi="宋体"/>
              <w:b/>
              <w:bCs/>
              <w:sz w:val="24"/>
              <w:szCs w:val="24"/>
              <w:lang w:eastAsia="zh-CN"/>
            </w:rPr>
            <w:fldChar w:fldCharType="end"/>
          </w:r>
        </w:p>
        <w:p>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"_Toc24912744" </w:instrText>
          </w:r>
          <w:r>
            <w:fldChar w:fldCharType="separate"/>
          </w:r>
          <w:r>
            <w:rPr>
              <w:rStyle w:val="25"/>
              <w:rFonts w:ascii="宋体" w:hAnsi="宋体"/>
              <w:b/>
              <w:bCs/>
              <w:spacing w:val="2"/>
              <w:sz w:val="24"/>
              <w:szCs w:val="24"/>
              <w:lang w:eastAsia="zh-CN"/>
            </w:rPr>
            <w:t>第</w:t>
          </w:r>
          <w:r>
            <w:rPr>
              <w:rStyle w:val="25"/>
              <w:rFonts w:hint="eastAsia" w:ascii="宋体" w:hAnsi="宋体"/>
              <w:b/>
              <w:bCs/>
              <w:spacing w:val="2"/>
              <w:sz w:val="24"/>
              <w:szCs w:val="24"/>
              <w:lang w:eastAsia="zh-CN"/>
            </w:rPr>
            <w:t>六</w:t>
          </w:r>
          <w:r>
            <w:rPr>
              <w:rStyle w:val="25"/>
              <w:rFonts w:ascii="宋体" w:hAnsi="宋体"/>
              <w:b/>
              <w:bCs/>
              <w:sz w:val="24"/>
              <w:szCs w:val="24"/>
              <w:lang w:eastAsia="zh-CN"/>
            </w:rPr>
            <w:t>章</w:t>
          </w:r>
          <w:r>
            <w:rPr>
              <w:rStyle w:val="25"/>
              <w:rFonts w:hint="eastAsia" w:ascii="宋体" w:hAnsi="宋体"/>
              <w:b/>
              <w:bCs/>
              <w:sz w:val="24"/>
              <w:szCs w:val="24"/>
              <w:lang w:eastAsia="zh-CN"/>
            </w:rPr>
            <w:t xml:space="preserve">  </w:t>
          </w:r>
          <w:r>
            <w:rPr>
              <w:rStyle w:val="25"/>
              <w:rFonts w:ascii="宋体" w:hAnsi="宋体"/>
              <w:b/>
              <w:bCs/>
              <w:spacing w:val="2"/>
              <w:sz w:val="24"/>
              <w:szCs w:val="24"/>
              <w:lang w:eastAsia="zh-CN"/>
            </w:rPr>
            <w:t>产品质</w:t>
          </w:r>
          <w:r>
            <w:rPr>
              <w:rStyle w:val="25"/>
              <w:rFonts w:ascii="宋体" w:hAnsi="宋体"/>
              <w:b/>
              <w:bCs/>
              <w:sz w:val="24"/>
              <w:szCs w:val="24"/>
              <w:lang w:eastAsia="zh-CN"/>
            </w:rPr>
            <w:t>量</w:t>
          </w:r>
          <w:r>
            <w:rPr>
              <w:rStyle w:val="25"/>
              <w:rFonts w:hint="eastAsia" w:ascii="宋体" w:hAnsi="宋体"/>
              <w:b/>
              <w:bCs/>
              <w:spacing w:val="2"/>
              <w:sz w:val="24"/>
              <w:szCs w:val="24"/>
              <w:lang w:eastAsia="zh-CN"/>
            </w:rPr>
            <w:t>承诺</w:t>
          </w:r>
          <w:r>
            <w:rPr>
              <w:rFonts w:ascii="宋体" w:hAnsi="宋体"/>
              <w:b/>
              <w:bCs/>
              <w:sz w:val="24"/>
              <w:szCs w:val="24"/>
            </w:rPr>
            <w:tab/>
          </w:r>
          <w:r>
            <w:rPr>
              <w:rFonts w:hint="eastAsia" w:ascii="宋体" w:hAnsi="宋体"/>
              <w:b/>
              <w:bCs/>
              <w:sz w:val="24"/>
              <w:szCs w:val="24"/>
              <w:lang w:eastAsia="zh-CN"/>
            </w:rPr>
            <w:t>20</w:t>
          </w:r>
          <w:r>
            <w:rPr>
              <w:rFonts w:hint="eastAsia" w:ascii="宋体" w:hAnsi="宋体"/>
              <w:b/>
              <w:bCs/>
              <w:sz w:val="24"/>
              <w:szCs w:val="24"/>
              <w:lang w:eastAsia="zh-CN"/>
            </w:rPr>
            <w:fldChar w:fldCharType="end"/>
          </w:r>
        </w:p>
        <w:p>
          <w:pPr>
            <w:pStyle w:val="19"/>
            <w:tabs>
              <w:tab w:val="left" w:pos="1540"/>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"_Toc24912745" </w:instrText>
          </w:r>
          <w:r>
            <w:fldChar w:fldCharType="separate"/>
          </w:r>
          <w:r>
            <w:rPr>
              <w:rStyle w:val="25"/>
              <w:rFonts w:ascii="宋体" w:hAnsi="宋体"/>
              <w:b/>
              <w:bCs/>
              <w:sz w:val="24"/>
              <w:szCs w:val="24"/>
              <w:lang w:eastAsia="zh-CN"/>
            </w:rPr>
            <w:t>第三部分 结</w:t>
          </w:r>
          <w:r>
            <w:rPr>
              <w:rFonts w:ascii="宋体" w:hAnsi="宋体" w:cstheme="minorBidi"/>
              <w:b/>
              <w:bCs/>
              <w:smallCaps w:val="0"/>
              <w:kern w:val="2"/>
              <w:sz w:val="24"/>
              <w:szCs w:val="24"/>
              <w:lang w:eastAsia="zh-CN"/>
            </w:rPr>
            <w:tab/>
          </w:r>
          <w:r>
            <w:rPr>
              <w:rStyle w:val="25"/>
              <w:rFonts w:ascii="宋体" w:hAnsi="宋体"/>
              <w:b/>
              <w:bCs/>
              <w:sz w:val="24"/>
              <w:szCs w:val="24"/>
              <w:lang w:eastAsia="zh-CN"/>
            </w:rPr>
            <w:t>语</w:t>
          </w:r>
          <w:r>
            <w:rPr>
              <w:rFonts w:ascii="宋体" w:hAnsi="宋体"/>
              <w:b/>
              <w:bCs/>
              <w:sz w:val="24"/>
              <w:szCs w:val="24"/>
            </w:rPr>
            <w:tab/>
          </w:r>
          <w:r>
            <w:rPr>
              <w:rFonts w:hint="eastAsia" w:ascii="宋体" w:hAnsi="宋体"/>
              <w:b/>
              <w:bCs/>
              <w:sz w:val="24"/>
              <w:szCs w:val="24"/>
              <w:lang w:eastAsia="zh-CN"/>
            </w:rPr>
            <w:t>2</w:t>
          </w:r>
          <w:r>
            <w:rPr>
              <w:rFonts w:hint="eastAsia" w:ascii="宋体" w:hAnsi="宋体"/>
              <w:b/>
              <w:bCs/>
              <w:sz w:val="24"/>
              <w:szCs w:val="24"/>
              <w:lang w:eastAsia="zh-CN"/>
            </w:rPr>
            <w:fldChar w:fldCharType="end"/>
          </w:r>
          <w:r>
            <w:rPr>
              <w:rFonts w:hint="eastAsia" w:ascii="宋体" w:hAnsi="宋体"/>
              <w:b/>
              <w:bCs/>
              <w:sz w:val="24"/>
              <w:szCs w:val="24"/>
              <w:lang w:eastAsia="zh-CN"/>
            </w:rPr>
            <w:t>3</w:t>
          </w:r>
        </w:p>
        <w:p>
          <w:pPr>
            <w:pStyle w:val="50"/>
            <w:tabs>
              <w:tab w:val="right" w:leader="dot" w:pos="9407"/>
            </w:tabs>
            <w:spacing w:line="360" w:lineRule="auto"/>
            <w:rPr>
              <w:b/>
              <w:bCs/>
            </w:rPr>
          </w:pPr>
          <w:r>
            <w:rPr>
              <w:b/>
              <w:bCs/>
            </w:rPr>
            <w:fldChar w:fldCharType="end"/>
          </w:r>
        </w:p>
      </w:sdtContent>
    </w:sdt>
    <w:p>
      <w:pPr>
        <w:spacing w:line="360" w:lineRule="auto"/>
        <w:jc w:val="center"/>
        <w:rPr>
          <w:rFonts w:ascii="Times New Roman" w:hAnsi="Times New Roman"/>
          <w:sz w:val="24"/>
          <w:szCs w:val="24"/>
          <w:lang w:eastAsia="zh-CN"/>
        </w:rPr>
        <w:sectPr>
          <w:footerReference r:id="rId3" w:type="default"/>
          <w:pgSz w:w="11907" w:h="16840"/>
          <w:pgMar w:top="1480" w:right="1140" w:bottom="1160" w:left="1360" w:header="849" w:footer="979" w:gutter="0"/>
          <w:pgNumType w:start="1"/>
          <w:cols w:space="720" w:num="1"/>
        </w:sectPr>
      </w:pPr>
    </w:p>
    <w:p>
      <w:pPr>
        <w:spacing w:line="360" w:lineRule="auto"/>
        <w:rPr>
          <w:sz w:val="13"/>
          <w:szCs w:val="13"/>
          <w:lang w:eastAsia="zh-CN"/>
        </w:rPr>
      </w:pPr>
    </w:p>
    <w:p>
      <w:pPr>
        <w:pStyle w:val="6"/>
        <w:numPr>
          <w:ilvl w:val="0"/>
          <w:numId w:val="1"/>
        </w:numPr>
        <w:spacing w:line="360" w:lineRule="auto"/>
        <w:jc w:val="center"/>
        <w:outlineLvl w:val="1"/>
        <w:rPr>
          <w:rFonts w:cs="黑体"/>
          <w:b/>
          <w:bCs/>
          <w:sz w:val="32"/>
          <w:szCs w:val="32"/>
          <w:lang w:eastAsia="zh-CN"/>
        </w:rPr>
      </w:pPr>
      <w:bookmarkStart w:id="1" w:name="_Toc24912735"/>
      <w:bookmarkStart w:id="2" w:name="_Toc3480_WPSOffice_Level1"/>
      <w:r>
        <w:rPr>
          <w:rFonts w:hint="eastAsia" w:cs="黑体"/>
          <w:b/>
          <w:bCs/>
          <w:sz w:val="32"/>
          <w:szCs w:val="32"/>
          <w:lang w:eastAsia="zh-CN"/>
        </w:rPr>
        <w:t>前 言</w:t>
      </w:r>
      <w:bookmarkEnd w:id="1"/>
      <w:bookmarkEnd w:id="2"/>
    </w:p>
    <w:p>
      <w:pPr>
        <w:pStyle w:val="6"/>
        <w:spacing w:line="360" w:lineRule="auto"/>
        <w:ind w:left="0"/>
        <w:jc w:val="both"/>
        <w:rPr>
          <w:rFonts w:ascii="黑体" w:hAnsi="黑体" w:eastAsia="黑体" w:cs="黑体"/>
          <w:b/>
          <w:bCs/>
          <w:sz w:val="32"/>
          <w:szCs w:val="32"/>
          <w:lang w:eastAsia="zh-CN"/>
        </w:rPr>
      </w:pPr>
    </w:p>
    <w:p>
      <w:pPr>
        <w:pStyle w:val="6"/>
        <w:numPr>
          <w:ilvl w:val="1"/>
          <w:numId w:val="2"/>
        </w:numPr>
        <w:spacing w:line="360" w:lineRule="auto"/>
        <w:jc w:val="center"/>
        <w:outlineLvl w:val="1"/>
        <w:rPr>
          <w:b/>
          <w:bCs/>
          <w:sz w:val="28"/>
          <w:szCs w:val="28"/>
          <w:lang w:eastAsia="zh-CN"/>
        </w:rPr>
      </w:pPr>
      <w:bookmarkStart w:id="3" w:name="_Toc24912736"/>
      <w:bookmarkStart w:id="4" w:name="_Toc19657_WPSOffice_Level2"/>
      <w:r>
        <w:rPr>
          <w:rFonts w:hint="eastAsia"/>
          <w:b/>
          <w:bCs/>
          <w:sz w:val="28"/>
          <w:szCs w:val="28"/>
          <w:lang w:eastAsia="zh-CN"/>
        </w:rPr>
        <w:t>编制说明</w:t>
      </w:r>
      <w:bookmarkEnd w:id="3"/>
      <w:bookmarkEnd w:id="4"/>
    </w:p>
    <w:p>
      <w:pPr>
        <w:pStyle w:val="6"/>
        <w:spacing w:line="360" w:lineRule="auto"/>
        <w:ind w:left="0"/>
        <w:jc w:val="both"/>
        <w:rPr>
          <w:b/>
          <w:bCs/>
          <w:sz w:val="28"/>
          <w:szCs w:val="28"/>
          <w:lang w:eastAsia="zh-CN"/>
        </w:rPr>
      </w:pPr>
    </w:p>
    <w:p>
      <w:pPr>
        <w:pStyle w:val="6"/>
        <w:spacing w:line="360" w:lineRule="auto"/>
        <w:ind w:left="229" w:right="451" w:firstLine="520"/>
        <w:jc w:val="both"/>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本公司</w:t>
      </w:r>
      <w:r>
        <w:rPr>
          <w:rFonts w:hint="eastAsia" w:asciiTheme="minorEastAsia" w:hAnsiTheme="minorEastAsia" w:eastAsiaTheme="minorEastAsia" w:cstheme="minorEastAsia"/>
          <w:spacing w:val="1"/>
          <w:w w:val="95"/>
          <w:sz w:val="28"/>
          <w:szCs w:val="28"/>
          <w:lang w:eastAsia="zh-CN"/>
        </w:rPr>
        <w:t>出</w:t>
      </w:r>
      <w:r>
        <w:rPr>
          <w:rFonts w:hint="eastAsia" w:asciiTheme="minorEastAsia" w:hAnsiTheme="minorEastAsia" w:eastAsiaTheme="minorEastAsia" w:cstheme="minorEastAsia"/>
          <w:w w:val="95"/>
          <w:sz w:val="28"/>
          <w:szCs w:val="28"/>
          <w:lang w:eastAsia="zh-CN"/>
        </w:rPr>
        <w:t>具的</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w:t>
      </w:r>
      <w:r>
        <w:rPr>
          <w:rFonts w:hint="eastAsia" w:asciiTheme="minorEastAsia" w:hAnsiTheme="minorEastAsia" w:eastAsiaTheme="minorEastAsia" w:cstheme="minorEastAsia"/>
          <w:spacing w:val="1"/>
          <w:w w:val="95"/>
          <w:sz w:val="28"/>
          <w:szCs w:val="28"/>
          <w:lang w:eastAsia="zh-CN"/>
        </w:rPr>
        <w:t>诚</w:t>
      </w:r>
      <w:r>
        <w:rPr>
          <w:rFonts w:hint="eastAsia" w:asciiTheme="minorEastAsia" w:hAnsiTheme="minorEastAsia" w:eastAsiaTheme="minorEastAsia" w:cstheme="minorEastAsia"/>
          <w:w w:val="95"/>
          <w:sz w:val="28"/>
          <w:szCs w:val="28"/>
          <w:lang w:eastAsia="zh-CN"/>
        </w:rPr>
        <w:t>信报告</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依据</w:t>
      </w:r>
      <w:r>
        <w:rPr>
          <w:rFonts w:hint="eastAsia" w:asciiTheme="minorEastAsia" w:hAnsiTheme="minorEastAsia" w:eastAsiaTheme="minorEastAsia" w:cstheme="minorEastAsia"/>
          <w:spacing w:val="1"/>
          <w:w w:val="95"/>
          <w:sz w:val="28"/>
          <w:szCs w:val="28"/>
          <w:lang w:eastAsia="zh-CN"/>
        </w:rPr>
        <w:t>国家</w:t>
      </w:r>
      <w:r>
        <w:rPr>
          <w:rFonts w:hint="eastAsia" w:asciiTheme="minorEastAsia" w:hAnsiTheme="minorEastAsia" w:eastAsiaTheme="minorEastAsia" w:cstheme="minorEastAsia"/>
          <w:w w:val="95"/>
          <w:sz w:val="28"/>
          <w:szCs w:val="28"/>
          <w:lang w:eastAsia="zh-CN"/>
        </w:rPr>
        <w:t>有关质</w:t>
      </w:r>
      <w:r>
        <w:rPr>
          <w:rFonts w:hint="eastAsia" w:asciiTheme="minorEastAsia" w:hAnsiTheme="minorEastAsia" w:eastAsiaTheme="minorEastAsia" w:cstheme="minorEastAsia"/>
          <w:spacing w:val="1"/>
          <w:w w:val="95"/>
          <w:sz w:val="28"/>
          <w:szCs w:val="28"/>
          <w:lang w:eastAsia="zh-CN"/>
        </w:rPr>
        <w:t>量</w:t>
      </w:r>
      <w:r>
        <w:rPr>
          <w:rFonts w:hint="eastAsia" w:asciiTheme="minorEastAsia" w:hAnsiTheme="minorEastAsia" w:eastAsiaTheme="minorEastAsia" w:cstheme="minorEastAsia"/>
          <w:w w:val="95"/>
          <w:sz w:val="28"/>
          <w:szCs w:val="28"/>
          <w:lang w:eastAsia="zh-CN"/>
        </w:rPr>
        <w:t>法律</w:t>
      </w:r>
      <w:r>
        <w:rPr>
          <w:rFonts w:hint="eastAsia" w:asciiTheme="minorEastAsia" w:hAnsiTheme="minorEastAsia" w:eastAsiaTheme="minorEastAsia" w:cstheme="minorEastAsia"/>
          <w:spacing w:val="1"/>
          <w:w w:val="95"/>
          <w:sz w:val="28"/>
          <w:szCs w:val="28"/>
          <w:lang w:eastAsia="zh-CN"/>
        </w:rPr>
        <w:t>法规</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规章及相关行业</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量标</w:t>
      </w:r>
      <w:r>
        <w:rPr>
          <w:rFonts w:hint="eastAsia" w:asciiTheme="minorEastAsia" w:hAnsiTheme="minorEastAsia" w:eastAsiaTheme="minorEastAsia" w:cstheme="minorEastAsia"/>
          <w:spacing w:val="1"/>
          <w:w w:val="95"/>
          <w:sz w:val="28"/>
          <w:szCs w:val="28"/>
          <w:lang w:eastAsia="zh-CN"/>
        </w:rPr>
        <w:t>准</w:t>
      </w:r>
      <w:r>
        <w:rPr>
          <w:rFonts w:hint="eastAsia" w:asciiTheme="minorEastAsia" w:hAnsiTheme="minorEastAsia" w:eastAsiaTheme="minorEastAsia" w:cstheme="minorEastAsia"/>
          <w:spacing w:val="-54"/>
          <w:w w:val="95"/>
          <w:sz w:val="28"/>
          <w:szCs w:val="28"/>
          <w:lang w:eastAsia="zh-CN"/>
        </w:rPr>
        <w:t>、</w:t>
      </w:r>
      <w:r>
        <w:rPr>
          <w:rFonts w:hint="eastAsia" w:asciiTheme="minorEastAsia" w:hAnsiTheme="minorEastAsia" w:eastAsiaTheme="minorEastAsia" w:cstheme="minorEastAsia"/>
          <w:spacing w:val="1"/>
          <w:w w:val="95"/>
          <w:sz w:val="28"/>
          <w:szCs w:val="28"/>
          <w:lang w:eastAsia="zh-CN"/>
        </w:rPr>
        <w:t>规</w:t>
      </w:r>
      <w:r>
        <w:rPr>
          <w:rFonts w:hint="eastAsia" w:asciiTheme="minorEastAsia" w:hAnsiTheme="minorEastAsia" w:eastAsiaTheme="minorEastAsia" w:cstheme="minorEastAsia"/>
          <w:w w:val="95"/>
          <w:sz w:val="28"/>
          <w:szCs w:val="28"/>
          <w:lang w:eastAsia="zh-CN"/>
        </w:rPr>
        <w:t>范等进</w:t>
      </w:r>
      <w:r>
        <w:rPr>
          <w:rFonts w:hint="eastAsia" w:asciiTheme="minorEastAsia" w:hAnsiTheme="minorEastAsia" w:eastAsiaTheme="minorEastAsia" w:cstheme="minorEastAsia"/>
          <w:spacing w:val="1"/>
          <w:w w:val="95"/>
          <w:sz w:val="28"/>
          <w:szCs w:val="28"/>
          <w:lang w:eastAsia="zh-CN"/>
        </w:rPr>
        <w:t>行</w:t>
      </w:r>
      <w:r>
        <w:rPr>
          <w:rFonts w:hint="eastAsia" w:asciiTheme="minorEastAsia" w:hAnsiTheme="minorEastAsia" w:eastAsiaTheme="minorEastAsia" w:cstheme="minorEastAsia"/>
          <w:w w:val="95"/>
          <w:sz w:val="28"/>
          <w:szCs w:val="28"/>
          <w:lang w:eastAsia="zh-CN"/>
        </w:rPr>
        <w:t>编制</w:t>
      </w:r>
      <w:r>
        <w:rPr>
          <w:rFonts w:hint="eastAsia" w:asciiTheme="minorEastAsia" w:hAnsiTheme="minorEastAsia" w:eastAsiaTheme="minorEastAsia" w:cstheme="minorEastAsia"/>
          <w:spacing w:val="-51"/>
          <w:w w:val="95"/>
          <w:sz w:val="28"/>
          <w:szCs w:val="28"/>
          <w:lang w:eastAsia="zh-CN"/>
        </w:rPr>
        <w:t>。</w:t>
      </w:r>
      <w:r>
        <w:rPr>
          <w:rFonts w:hint="eastAsia" w:asciiTheme="minorEastAsia" w:hAnsiTheme="minorEastAsia" w:eastAsiaTheme="minorEastAsia" w:cstheme="minorEastAsia"/>
          <w:w w:val="95"/>
          <w:sz w:val="28"/>
          <w:szCs w:val="28"/>
          <w:lang w:eastAsia="zh-CN"/>
        </w:rPr>
        <w:t>报</w:t>
      </w:r>
      <w:r>
        <w:rPr>
          <w:rFonts w:hint="eastAsia" w:asciiTheme="minorEastAsia" w:hAnsiTheme="minorEastAsia" w:eastAsiaTheme="minorEastAsia" w:cstheme="minorEastAsia"/>
          <w:spacing w:val="1"/>
          <w:w w:val="95"/>
          <w:sz w:val="28"/>
          <w:szCs w:val="28"/>
          <w:lang w:eastAsia="zh-CN"/>
        </w:rPr>
        <w:t>告</w:t>
      </w:r>
      <w:r>
        <w:rPr>
          <w:rFonts w:hint="eastAsia" w:asciiTheme="minorEastAsia" w:hAnsiTheme="minorEastAsia" w:eastAsiaTheme="minorEastAsia" w:cstheme="minorEastAsia"/>
          <w:w w:val="95"/>
          <w:sz w:val="28"/>
          <w:szCs w:val="28"/>
          <w:lang w:eastAsia="zh-CN"/>
        </w:rPr>
        <w:t>中关于公司质量诚信和质量管理情况是公司现状的真实反映，本公司对报告内容的客观性负责，对相关论述和结论真实性负责，现将有关情况说明如下：</w:t>
      </w:r>
    </w:p>
    <w:p>
      <w:pPr>
        <w:pStyle w:val="6"/>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报告范围：温州市瓯海大鸿运箱包有限公司</w:t>
      </w:r>
    </w:p>
    <w:p>
      <w:pPr>
        <w:pStyle w:val="6"/>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报告时间：2021年１月至2021年12月，部分数据超出以上时间以实际为准</w:t>
      </w:r>
    </w:p>
    <w:p>
      <w:pPr>
        <w:pStyle w:val="6"/>
        <w:spacing w:line="360" w:lineRule="auto"/>
        <w:ind w:left="0" w:firstLine="266" w:firstLineChars="100"/>
        <w:rPr>
          <w:rFonts w:hint="eastAsia"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（3）报告发布周期：一年</w:t>
      </w:r>
    </w:p>
    <w:p>
      <w:pPr>
        <w:pStyle w:val="6"/>
        <w:spacing w:line="360" w:lineRule="auto"/>
        <w:ind w:left="0" w:firstLine="266" w:firstLineChars="100"/>
        <w:rPr>
          <w:rFonts w:hint="eastAsia" w:asciiTheme="minorEastAsia" w:hAnsiTheme="minorEastAsia" w:eastAsiaTheme="minorEastAsia" w:cstheme="minorEastAsia"/>
          <w:w w:val="95"/>
          <w:sz w:val="28"/>
          <w:szCs w:val="28"/>
          <w:lang w:eastAsia="zh-CN"/>
        </w:rPr>
        <w:sectPr>
          <w:pgSz w:w="11907" w:h="16840"/>
          <w:pgMar w:top="1540" w:right="1100" w:bottom="1160" w:left="1300" w:header="849" w:footer="979" w:gutter="0"/>
          <w:cols w:space="720" w:num="1"/>
        </w:sectPr>
      </w:pPr>
      <w:r>
        <w:rPr>
          <w:rFonts w:hint="eastAsia" w:asciiTheme="minorEastAsia" w:hAnsiTheme="minorEastAsia" w:eastAsiaTheme="minorEastAsia" w:cstheme="minorEastAsia"/>
          <w:w w:val="95"/>
          <w:sz w:val="28"/>
          <w:szCs w:val="28"/>
          <w:lang w:eastAsia="zh-CN"/>
        </w:rPr>
        <w:t>（4）报告获取方式：通过公司</w:t>
      </w:r>
      <w:r>
        <w:rPr>
          <w:rFonts w:hint="eastAsia" w:asciiTheme="minorEastAsia" w:hAnsiTheme="minorEastAsia" w:eastAsiaTheme="minorEastAsia" w:cstheme="minorEastAsia"/>
          <w:w w:val="95"/>
          <w:sz w:val="28"/>
          <w:szCs w:val="28"/>
          <w:lang w:val="en-US" w:eastAsia="zh-CN"/>
        </w:rPr>
        <w:t>网站：</w:t>
      </w:r>
      <w:r>
        <w:rPr>
          <w:rFonts w:hint="eastAsia" w:asciiTheme="minorEastAsia" w:hAnsiTheme="minorEastAsia" w:eastAsiaTheme="minorEastAsia" w:cstheme="minorEastAsia"/>
          <w:w w:val="95"/>
          <w:sz w:val="28"/>
          <w:szCs w:val="28"/>
          <w:lang w:eastAsia="zh-CN"/>
        </w:rPr>
        <w:fldChar w:fldCharType="begin"/>
      </w:r>
      <w:r>
        <w:rPr>
          <w:rFonts w:hint="eastAsia" w:asciiTheme="minorEastAsia" w:hAnsiTheme="minorEastAsia" w:eastAsiaTheme="minorEastAsia" w:cstheme="minorEastAsia"/>
          <w:w w:val="95"/>
          <w:sz w:val="28"/>
          <w:szCs w:val="28"/>
          <w:lang w:eastAsia="zh-CN"/>
        </w:rPr>
        <w:instrText xml:space="preserve"> HYPERLINK "https://www.qcc.com/web/transfer-link?link=http://www.dahongyun.com" \t "https://www.qcc.com/cassets/_blank" </w:instrText>
      </w:r>
      <w:r>
        <w:rPr>
          <w:rFonts w:hint="eastAsia" w:asciiTheme="minorEastAsia" w:hAnsiTheme="minorEastAsia" w:eastAsiaTheme="minorEastAsia" w:cstheme="minorEastAsia"/>
          <w:w w:val="95"/>
          <w:sz w:val="28"/>
          <w:szCs w:val="28"/>
          <w:lang w:eastAsia="zh-CN"/>
        </w:rPr>
        <w:fldChar w:fldCharType="separate"/>
      </w:r>
      <w:r>
        <w:rPr>
          <w:rFonts w:hint="eastAsia" w:asciiTheme="minorEastAsia" w:hAnsiTheme="minorEastAsia" w:eastAsiaTheme="minorEastAsia" w:cstheme="minorEastAsia"/>
          <w:w w:val="95"/>
          <w:sz w:val="28"/>
          <w:szCs w:val="28"/>
          <w:lang w:eastAsia="zh-CN"/>
        </w:rPr>
        <w:t>www.dahongyun.com</w:t>
      </w:r>
      <w:r>
        <w:rPr>
          <w:rFonts w:hint="eastAsia" w:asciiTheme="minorEastAsia" w:hAnsiTheme="minorEastAsia" w:eastAsiaTheme="minorEastAsia" w:cstheme="minorEastAsia"/>
          <w:w w:val="95"/>
          <w:sz w:val="28"/>
          <w:szCs w:val="28"/>
          <w:lang w:eastAsia="zh-CN"/>
        </w:rPr>
        <w:fldChar w:fldCharType="end"/>
      </w:r>
    </w:p>
    <w:p>
      <w:pPr>
        <w:pStyle w:val="6"/>
        <w:numPr>
          <w:ilvl w:val="1"/>
          <w:numId w:val="2"/>
        </w:numPr>
        <w:spacing w:before="360" w:beforeLines="150" w:line="360" w:lineRule="auto"/>
        <w:jc w:val="center"/>
        <w:outlineLvl w:val="1"/>
        <w:rPr>
          <w:b/>
          <w:bCs/>
          <w:sz w:val="28"/>
          <w:szCs w:val="28"/>
          <w:lang w:eastAsia="zh-CN"/>
        </w:rPr>
      </w:pPr>
      <w:bookmarkStart w:id="5" w:name="_Toc24912737"/>
      <w:r>
        <w:rPr>
          <w:rFonts w:hint="eastAsia"/>
          <w:b/>
          <w:bCs/>
          <w:sz w:val="28"/>
          <w:szCs w:val="28"/>
          <w:lang w:eastAsia="zh-CN"/>
        </w:rPr>
        <w:t>董事长致辞</w:t>
      </w:r>
      <w:bookmarkEnd w:id="5"/>
    </w:p>
    <w:p>
      <w:pPr>
        <w:autoSpaceDE w:val="0"/>
        <w:autoSpaceDN w:val="0"/>
        <w:adjustRightInd w:val="0"/>
        <w:spacing w:before="100" w:beforeAutospacing="1" w:after="100" w:afterAutospacing="1" w:line="360" w:lineRule="auto"/>
        <w:ind w:firstLine="360" w:firstLineChars="150"/>
        <w:rPr>
          <w:rFonts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lang w:eastAsia="zh-CN"/>
        </w:rPr>
        <w:t>温州市瓯海大鸿运箱包有限公司从</w:t>
      </w:r>
      <w:r>
        <w:rPr>
          <w:rFonts w:hint="eastAsia" w:cs="宋体" w:asciiTheme="minorEastAsia" w:hAnsiTheme="minorEastAsia" w:eastAsiaTheme="minorEastAsia"/>
          <w:color w:val="000000" w:themeColor="text1"/>
          <w:sz w:val="24"/>
          <w:szCs w:val="24"/>
          <w:lang w:val="en-US" w:eastAsia="zh-CN"/>
        </w:rPr>
        <w:t>1995</w:t>
      </w:r>
      <w:r>
        <w:rPr>
          <w:rFonts w:hint="eastAsia" w:cs="宋体" w:asciiTheme="minorEastAsia" w:hAnsiTheme="minorEastAsia" w:eastAsiaTheme="minorEastAsia"/>
          <w:color w:val="000000" w:themeColor="text1"/>
          <w:sz w:val="24"/>
          <w:szCs w:val="24"/>
          <w:lang w:eastAsia="zh-CN"/>
        </w:rPr>
        <w:t>成立至今，全体员工凭着坚定的理想和信念，执着追求，开拓进取，取得了一定的成就。</w:t>
      </w:r>
      <w:r>
        <w:rPr>
          <w:rFonts w:hint="eastAsia" w:cs="宋体" w:asciiTheme="minorEastAsia" w:hAnsiTheme="minorEastAsia" w:eastAsiaTheme="minorEastAsia"/>
          <w:color w:val="000000" w:themeColor="text1"/>
          <w:sz w:val="24"/>
          <w:szCs w:val="24"/>
          <w:lang w:val="en-US" w:eastAsia="zh-CN"/>
        </w:rPr>
        <w:t>二十多年</w:t>
      </w:r>
      <w:r>
        <w:rPr>
          <w:rFonts w:hint="eastAsia" w:cs="宋体" w:asciiTheme="minorEastAsia" w:hAnsiTheme="minorEastAsia" w:eastAsiaTheme="minorEastAsia"/>
          <w:color w:val="000000" w:themeColor="text1"/>
          <w:sz w:val="24"/>
          <w:szCs w:val="24"/>
          <w:lang w:eastAsia="zh-CN"/>
        </w:rPr>
        <w:t>的发展之路，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pPr>
        <w:spacing w:line="360" w:lineRule="auto"/>
        <w:ind w:firstLine="360" w:firstLineChars="150"/>
        <w:rPr>
          <w:rFonts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lang w:eastAsia="zh-CN"/>
        </w:rPr>
        <w:t>公司以“客户至上，以诚取信，服务社会，回报社会”为经营理念。兢兢业业苦练内功，目前已成功创建了一支有凝聚力,高素质的管理团队。</w:t>
      </w:r>
    </w:p>
    <w:p>
      <w:pPr>
        <w:autoSpaceDE w:val="0"/>
        <w:autoSpaceDN w:val="0"/>
        <w:adjustRightInd w:val="0"/>
        <w:spacing w:before="100" w:beforeAutospacing="1" w:after="100" w:afterAutospacing="1" w:line="360" w:lineRule="auto"/>
        <w:ind w:firstLine="480" w:firstLineChars="200"/>
        <w:rPr>
          <w:rFonts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lang w:eastAsia="zh-CN"/>
        </w:rPr>
        <w:t>公司关注企业在竞争环境中生存状况，以高质量、高品位、零浪费的要求，一切围绕为客户提供满意的产品与服务。公司一贯秉承合作、开放、责任、创新、高效的企业文化。</w:t>
      </w:r>
    </w:p>
    <w:p>
      <w:pPr>
        <w:autoSpaceDE w:val="0"/>
        <w:autoSpaceDN w:val="0"/>
        <w:adjustRightInd w:val="0"/>
        <w:spacing w:before="100" w:beforeAutospacing="1" w:after="100" w:afterAutospacing="1" w:line="360" w:lineRule="auto"/>
        <w:ind w:firstLine="480" w:firstLineChars="200"/>
        <w:rPr>
          <w:rFonts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lang w:eastAsia="zh-CN"/>
        </w:rPr>
        <w:t>回首公司的发展历程，我们在欣喜和振奋中，更感受到新的激励与挑战。展望公司的发展，我们对它美好的未来充满信心。我会带领全体员工在新的征程上，勇于奋进、开拓创新，以更高的标准和要求挑战自我，超越自我。让我们携手共进，共同努力！</w:t>
      </w:r>
    </w:p>
    <w:p>
      <w:pPr>
        <w:ind w:right="596"/>
        <w:rPr>
          <w:rFonts w:ascii="黑体" w:hAnsi="黑体" w:eastAsia="黑体"/>
          <w:sz w:val="30"/>
          <w:szCs w:val="30"/>
          <w:lang w:eastAsia="zh-CN"/>
        </w:rPr>
      </w:pPr>
    </w:p>
    <w:p>
      <w:pPr>
        <w:ind w:right="596"/>
        <w:rPr>
          <w:rFonts w:ascii="黑体" w:hAnsi="黑体" w:eastAsia="黑体"/>
          <w:sz w:val="30"/>
          <w:szCs w:val="30"/>
          <w:lang w:eastAsia="zh-CN"/>
        </w:rPr>
      </w:pPr>
    </w:p>
    <w:p>
      <w:pPr>
        <w:ind w:right="596"/>
        <w:rPr>
          <w:rFonts w:ascii="黑体" w:hAnsi="黑体" w:eastAsia="黑体"/>
          <w:sz w:val="30"/>
          <w:szCs w:val="30"/>
          <w:lang w:eastAsia="zh-CN"/>
        </w:rPr>
      </w:pPr>
    </w:p>
    <w:p>
      <w:pPr>
        <w:ind w:right="596" w:firstLine="6600" w:firstLineChars="2200"/>
        <w:rPr>
          <w:rFonts w:hint="default" w:ascii="黑体" w:hAnsi="黑体" w:eastAsia="黑体"/>
          <w:sz w:val="30"/>
          <w:szCs w:val="30"/>
          <w:lang w:val="en-US" w:eastAsia="zh-CN"/>
        </w:rPr>
      </w:pPr>
      <w:bookmarkStart w:id="6" w:name="_Toc15061_WPSOffice_Level2"/>
      <w:r>
        <w:rPr>
          <w:rFonts w:hint="eastAsia" w:ascii="黑体" w:hAnsi="黑体" w:eastAsia="黑体"/>
          <w:sz w:val="30"/>
          <w:szCs w:val="30"/>
          <w:lang w:val="en-US" w:eastAsia="zh-CN"/>
        </w:rPr>
        <w:t>总经理</w:t>
      </w:r>
      <w:r>
        <w:rPr>
          <w:rFonts w:hint="eastAsia" w:ascii="黑体" w:hAnsi="黑体" w:eastAsia="黑体"/>
          <w:sz w:val="30"/>
          <w:szCs w:val="30"/>
          <w:lang w:eastAsia="zh-CN"/>
        </w:rPr>
        <w:t>：</w:t>
      </w:r>
      <w:bookmarkEnd w:id="6"/>
      <w:r>
        <w:rPr>
          <w:rFonts w:hint="eastAsia" w:ascii="黑体" w:hAnsi="黑体" w:eastAsia="黑体"/>
          <w:sz w:val="30"/>
          <w:szCs w:val="30"/>
          <w:lang w:val="en-US" w:eastAsia="zh-CN"/>
        </w:rPr>
        <w:t>黄君翊</w:t>
      </w:r>
    </w:p>
    <w:p>
      <w:pPr>
        <w:ind w:right="596"/>
        <w:rPr>
          <w:rFonts w:ascii="黑体" w:hAnsi="黑体" w:eastAsia="黑体"/>
          <w:sz w:val="30"/>
          <w:szCs w:val="30"/>
          <w:lang w:eastAsia="zh-CN"/>
        </w:rPr>
      </w:pPr>
    </w:p>
    <w:p>
      <w:pPr>
        <w:ind w:right="596"/>
        <w:jc w:val="right"/>
        <w:rPr>
          <w:rFonts w:ascii="黑体" w:hAnsi="黑体" w:eastAsia="黑体"/>
          <w:sz w:val="30"/>
          <w:szCs w:val="30"/>
          <w:lang w:eastAsia="zh-CN"/>
        </w:rPr>
      </w:pPr>
      <w:bookmarkStart w:id="7" w:name="_Toc24442_WPSOffice_Level2"/>
      <w:r>
        <w:rPr>
          <w:rFonts w:hint="eastAsia" w:ascii="黑体" w:hAnsi="黑体" w:eastAsia="黑体"/>
          <w:sz w:val="30"/>
          <w:szCs w:val="30"/>
          <w:lang w:eastAsia="zh-CN"/>
        </w:rPr>
        <w:t>202</w:t>
      </w:r>
      <w:r>
        <w:rPr>
          <w:rFonts w:hint="eastAsia" w:ascii="黑体" w:hAnsi="黑体" w:eastAsia="黑体"/>
          <w:sz w:val="30"/>
          <w:szCs w:val="30"/>
          <w:lang w:val="en-US" w:eastAsia="zh-CN"/>
        </w:rPr>
        <w:t>2</w:t>
      </w:r>
      <w:r>
        <w:rPr>
          <w:rFonts w:hint="eastAsia" w:ascii="黑体" w:hAnsi="黑体" w:eastAsia="黑体"/>
          <w:sz w:val="30"/>
          <w:szCs w:val="30"/>
          <w:lang w:eastAsia="zh-CN"/>
        </w:rPr>
        <w:t>年</w:t>
      </w:r>
      <w:r>
        <w:rPr>
          <w:rFonts w:hint="eastAsia" w:ascii="黑体" w:hAnsi="黑体" w:eastAsia="黑体"/>
          <w:sz w:val="30"/>
          <w:szCs w:val="30"/>
          <w:lang w:val="en-US" w:eastAsia="zh-CN"/>
        </w:rPr>
        <w:t>11</w:t>
      </w:r>
      <w:r>
        <w:rPr>
          <w:rFonts w:hint="eastAsia" w:ascii="黑体" w:hAnsi="黑体" w:eastAsia="黑体"/>
          <w:sz w:val="30"/>
          <w:szCs w:val="30"/>
          <w:lang w:eastAsia="zh-CN"/>
        </w:rPr>
        <w:t>月</w:t>
      </w:r>
      <w:bookmarkEnd w:id="7"/>
    </w:p>
    <w:p>
      <w:pPr>
        <w:pStyle w:val="28"/>
        <w:spacing w:before="39"/>
        <w:ind w:right="4153"/>
        <w:jc w:val="both"/>
        <w:rPr>
          <w:lang w:eastAsia="zh-CN"/>
        </w:rPr>
      </w:pPr>
    </w:p>
    <w:p>
      <w:pPr>
        <w:pStyle w:val="28"/>
        <w:spacing w:before="39"/>
        <w:ind w:right="4153"/>
        <w:jc w:val="both"/>
        <w:rPr>
          <w:lang w:eastAsia="zh-CN"/>
        </w:rPr>
      </w:pPr>
    </w:p>
    <w:p>
      <w:pPr>
        <w:pStyle w:val="28"/>
        <w:spacing w:before="39"/>
        <w:ind w:right="4153"/>
        <w:jc w:val="both"/>
        <w:rPr>
          <w:lang w:eastAsia="zh-CN"/>
        </w:rPr>
      </w:pPr>
    </w:p>
    <w:p>
      <w:pPr>
        <w:pStyle w:val="28"/>
        <w:spacing w:before="39"/>
        <w:ind w:right="4153"/>
        <w:jc w:val="both"/>
        <w:rPr>
          <w:lang w:eastAsia="zh-CN"/>
        </w:rPr>
      </w:pPr>
    </w:p>
    <w:p>
      <w:pPr>
        <w:pStyle w:val="28"/>
        <w:spacing w:before="39"/>
        <w:ind w:right="4153"/>
        <w:jc w:val="both"/>
        <w:rPr>
          <w:lang w:eastAsia="zh-CN"/>
        </w:rPr>
      </w:pPr>
    </w:p>
    <w:p>
      <w:pPr>
        <w:pStyle w:val="28"/>
        <w:spacing w:before="39"/>
        <w:ind w:right="4153"/>
        <w:jc w:val="both"/>
        <w:rPr>
          <w:lang w:eastAsia="zh-CN"/>
        </w:rPr>
      </w:pPr>
    </w:p>
    <w:p>
      <w:pPr>
        <w:pStyle w:val="28"/>
        <w:spacing w:before="39"/>
        <w:ind w:right="4153"/>
        <w:jc w:val="both"/>
        <w:rPr>
          <w:lang w:eastAsia="zh-CN"/>
        </w:rPr>
      </w:pPr>
    </w:p>
    <w:p>
      <w:pPr>
        <w:pStyle w:val="6"/>
        <w:numPr>
          <w:ilvl w:val="1"/>
          <w:numId w:val="2"/>
        </w:numPr>
        <w:spacing w:line="360" w:lineRule="auto"/>
        <w:jc w:val="center"/>
        <w:outlineLvl w:val="1"/>
        <w:rPr>
          <w:b/>
          <w:bCs/>
          <w:sz w:val="28"/>
          <w:szCs w:val="28"/>
          <w:lang w:eastAsia="zh-CN"/>
        </w:rPr>
      </w:pPr>
      <w:bookmarkStart w:id="8" w:name="_Toc24912738"/>
      <w:bookmarkStart w:id="9" w:name="_Toc15713_WPSOffice_Level2"/>
      <w:r>
        <w:rPr>
          <w:rFonts w:hint="eastAsia"/>
          <w:b/>
          <w:bCs/>
          <w:sz w:val="28"/>
          <w:szCs w:val="28"/>
          <w:lang w:eastAsia="zh-CN"/>
        </w:rPr>
        <w:t>企业简介</w:t>
      </w:r>
      <w:bookmarkEnd w:id="8"/>
      <w:bookmarkEnd w:id="9"/>
    </w:p>
    <w:p>
      <w:pPr>
        <w:spacing w:line="200" w:lineRule="exact"/>
        <w:rPr>
          <w:sz w:val="20"/>
          <w:szCs w:val="20"/>
          <w:lang w:eastAsia="zh-CN"/>
        </w:rPr>
      </w:pP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温州市瓯海大鸿运箱包有限公司正式成立於19</w:t>
      </w:r>
      <w:r>
        <w:rPr>
          <w:rFonts w:hint="eastAsia" w:ascii="宋体" w:hAnsi="宋体" w:eastAsia="宋体" w:cs="宋体"/>
          <w:sz w:val="22"/>
          <w:szCs w:val="22"/>
          <w:highlight w:val="none"/>
          <w:lang w:val="en-US" w:eastAsia="zh-CN" w:bidi="zh-CN"/>
        </w:rPr>
        <w:t>95</w:t>
      </w:r>
      <w:r>
        <w:rPr>
          <w:rFonts w:hint="eastAsia" w:ascii="宋体" w:hAnsi="宋体" w:eastAsia="宋体" w:cs="宋体"/>
          <w:sz w:val="22"/>
          <w:szCs w:val="22"/>
          <w:highlight w:val="none"/>
          <w:lang w:val="zh-CN" w:eastAsia="zh-CN" w:bidi="zh-CN"/>
        </w:rPr>
        <w:t>年，建在风景秀丽，人杰地灵，商贾云集，具有“敢为天下先”之称的浙江温州。</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温州市瓯海大鸿运箱包有限公司是温州较早专业生产箱包企业之一，主要从事专业设计、开发、制造、出口各类箱包为主的企业，现公司主要生产BLESS品牌的ABS、PC、EVA等各类拉杆箱、航空箱、公文箱、化妆箱、购物箱等，现产品远销欧美、非洲、日韩等国家，并同国际大牌超市、营销公司建立了长期的合作关系。</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现公司厂房建筑面积达</w:t>
      </w:r>
      <w:r>
        <w:rPr>
          <w:rFonts w:hint="eastAsia" w:ascii="宋体" w:hAnsi="宋体" w:eastAsia="宋体" w:cs="宋体"/>
          <w:sz w:val="22"/>
          <w:szCs w:val="22"/>
          <w:highlight w:val="none"/>
          <w:lang w:val="en-US" w:eastAsia="zh-CN" w:bidi="zh-CN"/>
        </w:rPr>
        <w:t>24130</w:t>
      </w:r>
      <w:r>
        <w:rPr>
          <w:rFonts w:hint="eastAsia" w:ascii="宋体" w:hAnsi="宋体" w:eastAsia="宋体" w:cs="宋体"/>
          <w:sz w:val="22"/>
          <w:szCs w:val="22"/>
          <w:highlight w:val="none"/>
          <w:lang w:val="zh-CN" w:eastAsia="zh-CN" w:bidi="zh-CN"/>
        </w:rPr>
        <w:t>平方米，拥有各类员工100余人，技术人员</w:t>
      </w:r>
      <w:r>
        <w:rPr>
          <w:rFonts w:hint="eastAsia" w:ascii="宋体" w:hAnsi="宋体" w:eastAsia="宋体" w:cs="宋体"/>
          <w:sz w:val="22"/>
          <w:szCs w:val="22"/>
          <w:highlight w:val="none"/>
          <w:lang w:val="en-US" w:eastAsia="zh-CN" w:bidi="zh-CN"/>
        </w:rPr>
        <w:t>20</w:t>
      </w:r>
      <w:r>
        <w:rPr>
          <w:rFonts w:hint="eastAsia" w:ascii="宋体" w:hAnsi="宋体" w:eastAsia="宋体" w:cs="宋体"/>
          <w:sz w:val="22"/>
          <w:szCs w:val="22"/>
          <w:highlight w:val="none"/>
          <w:lang w:val="zh-CN" w:eastAsia="zh-CN" w:bidi="zh-CN"/>
        </w:rPr>
        <w:t>余人，共有5条箱包生产流水线，现代化生产设备一应俱全，年产各类箱包100万只。产品种类齐全，造型精雅，在国内箱包行业中占有重要地位。</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在国家改革开放政策的指引和社会各界朋友的大力支持下，经过了二十多年的创业拼搏，自1998年以来，历年被评为行业龙头企业、出口创汇先进企业、AAA诚信企业、纳税大户、纳税模范、明星企业等荣誉称号。</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公司一贯坚持精益生产管理和销售理念，秉持着“创中国箱包行业第一品牌”的公司奋斗目标；对内实行全面质量管理和精益生产模式，对外实行“客户至上，以诚取信，服务社会，回报社会”的经营宗旨。</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同时，公司坚持“人人品管、追求卓越、顾客满意、铸造品牌” 的经营方针，努力创造团结、和谐的工作环境，积极引进各类高级技术与管理人才拓展企业发展实力，不断地建立更完美的企业运营体系，防范企业风险。本企业将与机遇和挑战并存，坚持走创新、完善、再创新的道路，提升企业核心竞争力，使企业做强，坚持走发展道路，使企业做大，跨国际区域逐鹿资本市场。</w:t>
      </w:r>
    </w:p>
    <w:p>
      <w:pPr>
        <w:spacing w:line="360" w:lineRule="auto"/>
        <w:ind w:firstLine="480" w:firstLineChars="200"/>
        <w:rPr>
          <w:rFonts w:ascii="宋体" w:hAnsi="宋体" w:cs="宋体"/>
          <w:sz w:val="24"/>
          <w:lang w:eastAsia="zh-CN"/>
        </w:rPr>
        <w:sectPr>
          <w:headerReference r:id="rId4" w:type="default"/>
          <w:footerReference r:id="rId5" w:type="default"/>
          <w:pgSz w:w="11907" w:h="16840"/>
          <w:pgMar w:top="1480" w:right="1140" w:bottom="1160" w:left="1360" w:header="849" w:footer="979" w:gutter="0"/>
          <w:cols w:space="720" w:num="1"/>
        </w:sectPr>
      </w:pPr>
    </w:p>
    <w:p>
      <w:pPr>
        <w:pStyle w:val="28"/>
        <w:numPr>
          <w:ilvl w:val="0"/>
          <w:numId w:val="1"/>
        </w:numPr>
        <w:spacing w:before="360" w:beforeLines="150" w:line="419" w:lineRule="exact"/>
        <w:ind w:left="289" w:right="215"/>
        <w:jc w:val="center"/>
        <w:rPr>
          <w:lang w:eastAsia="zh-CN"/>
        </w:rPr>
      </w:pPr>
      <w:bookmarkStart w:id="10" w:name="_Toc19657_WPSOffice_Level1"/>
      <w:bookmarkStart w:id="11" w:name="_Toc24912739"/>
      <w:r>
        <w:rPr>
          <w:rFonts w:hint="eastAsia"/>
          <w:lang w:eastAsia="zh-CN"/>
        </w:rPr>
        <w:t>报告正文</w:t>
      </w:r>
      <w:bookmarkEnd w:id="10"/>
      <w:bookmarkEnd w:id="11"/>
    </w:p>
    <w:p>
      <w:pPr>
        <w:pStyle w:val="28"/>
        <w:spacing w:line="419" w:lineRule="exact"/>
        <w:ind w:right="213"/>
        <w:jc w:val="both"/>
        <w:rPr>
          <w:lang w:eastAsia="zh-CN"/>
        </w:rPr>
      </w:pPr>
    </w:p>
    <w:p>
      <w:pPr>
        <w:pStyle w:val="28"/>
        <w:spacing w:line="419" w:lineRule="exact"/>
        <w:ind w:right="213"/>
        <w:jc w:val="center"/>
        <w:rPr>
          <w:lang w:eastAsia="zh-CN"/>
        </w:rPr>
      </w:pPr>
      <w:bookmarkStart w:id="12" w:name="_Toc24912740"/>
      <w:bookmarkStart w:id="13" w:name="_Toc14231_WPSOffice_Level2"/>
      <w:r>
        <w:rPr>
          <w:rFonts w:hint="eastAsia"/>
          <w:lang w:eastAsia="zh-CN"/>
        </w:rPr>
        <w:t>第一章  质量理念</w:t>
      </w:r>
      <w:bookmarkEnd w:id="12"/>
      <w:bookmarkEnd w:id="13"/>
    </w:p>
    <w:p>
      <w:pPr>
        <w:pStyle w:val="28"/>
        <w:spacing w:line="419" w:lineRule="exact"/>
        <w:ind w:right="213"/>
        <w:jc w:val="center"/>
        <w:rPr>
          <w:lang w:eastAsia="zh-CN"/>
        </w:rPr>
      </w:pPr>
    </w:p>
    <w:p>
      <w:pPr>
        <w:pStyle w:val="6"/>
        <w:spacing w:line="360" w:lineRule="auto"/>
        <w:ind w:left="229"/>
        <w:rPr>
          <w:b/>
          <w:bCs/>
          <w:sz w:val="24"/>
          <w:szCs w:val="24"/>
          <w:lang w:eastAsia="zh-CN"/>
        </w:rPr>
      </w:pPr>
      <w:r>
        <w:rPr>
          <w:b/>
          <w:bCs/>
          <w:sz w:val="24"/>
          <w:szCs w:val="24"/>
          <w:lang w:eastAsia="zh-CN"/>
        </w:rPr>
        <w:t>1.1</w:t>
      </w:r>
      <w:r>
        <w:rPr>
          <w:rFonts w:hint="eastAsia"/>
          <w:b/>
          <w:bCs/>
          <w:sz w:val="24"/>
          <w:szCs w:val="24"/>
          <w:lang w:eastAsia="zh-CN"/>
        </w:rPr>
        <w:t xml:space="preserve"> 企业</w:t>
      </w:r>
      <w:r>
        <w:rPr>
          <w:rFonts w:hint="eastAsia"/>
          <w:b/>
          <w:bCs/>
          <w:spacing w:val="2"/>
          <w:sz w:val="24"/>
          <w:szCs w:val="24"/>
          <w:lang w:eastAsia="zh-CN"/>
        </w:rPr>
        <w:t>使</w:t>
      </w:r>
      <w:r>
        <w:rPr>
          <w:rFonts w:hint="eastAsia"/>
          <w:b/>
          <w:bCs/>
          <w:sz w:val="24"/>
          <w:szCs w:val="24"/>
          <w:lang w:eastAsia="zh-CN"/>
        </w:rPr>
        <w:t>命</w:t>
      </w:r>
    </w:p>
    <w:p>
      <w:pPr>
        <w:pStyle w:val="6"/>
        <w:spacing w:line="360" w:lineRule="auto"/>
        <w:ind w:left="229" w:firstLine="480" w:firstLineChars="200"/>
        <w:rPr>
          <w:rFonts w:cs="宋体"/>
          <w:color w:val="000000"/>
          <w:sz w:val="24"/>
          <w:szCs w:val="24"/>
          <w:lang w:eastAsia="zh-CN"/>
        </w:rPr>
      </w:pPr>
      <w:r>
        <w:rPr>
          <w:rFonts w:hint="eastAsia" w:cs="宋体" w:asciiTheme="minorEastAsia" w:hAnsiTheme="minorEastAsia" w:eastAsiaTheme="minorEastAsia"/>
          <w:color w:val="000000" w:themeColor="text1"/>
          <w:sz w:val="24"/>
          <w:szCs w:val="24"/>
          <w:lang w:eastAsia="zh-CN"/>
        </w:rPr>
        <w:t>高效优质，为争一流</w:t>
      </w:r>
      <w:r>
        <w:rPr>
          <w:rFonts w:hint="eastAsia" w:cs="宋体"/>
          <w:color w:val="000000"/>
          <w:sz w:val="24"/>
          <w:szCs w:val="24"/>
          <w:lang w:eastAsia="zh-CN"/>
        </w:rPr>
        <w:t>。</w:t>
      </w:r>
    </w:p>
    <w:p>
      <w:pPr>
        <w:pStyle w:val="6"/>
        <w:spacing w:line="360" w:lineRule="auto"/>
        <w:ind w:left="229"/>
        <w:rPr>
          <w:b/>
          <w:bCs/>
          <w:sz w:val="24"/>
          <w:szCs w:val="24"/>
          <w:lang w:eastAsia="zh-CN"/>
        </w:rPr>
      </w:pPr>
      <w:r>
        <w:rPr>
          <w:b/>
          <w:bCs/>
          <w:sz w:val="24"/>
          <w:szCs w:val="24"/>
          <w:lang w:eastAsia="zh-CN"/>
        </w:rPr>
        <w:t>1.2</w:t>
      </w:r>
      <w:r>
        <w:rPr>
          <w:rFonts w:hint="eastAsia"/>
          <w:b/>
          <w:bCs/>
          <w:sz w:val="24"/>
          <w:szCs w:val="24"/>
          <w:lang w:eastAsia="zh-CN"/>
        </w:rPr>
        <w:t xml:space="preserve"> 公司</w:t>
      </w:r>
      <w:r>
        <w:rPr>
          <w:rFonts w:hint="eastAsia"/>
          <w:b/>
          <w:bCs/>
          <w:spacing w:val="2"/>
          <w:sz w:val="24"/>
          <w:szCs w:val="24"/>
          <w:lang w:eastAsia="zh-CN"/>
        </w:rPr>
        <w:t>愿</w:t>
      </w:r>
      <w:r>
        <w:rPr>
          <w:rFonts w:hint="eastAsia"/>
          <w:b/>
          <w:bCs/>
          <w:sz w:val="24"/>
          <w:szCs w:val="24"/>
          <w:lang w:eastAsia="zh-CN"/>
        </w:rPr>
        <w:t>景</w:t>
      </w:r>
    </w:p>
    <w:p>
      <w:pPr>
        <w:pStyle w:val="6"/>
        <w:spacing w:line="360" w:lineRule="auto"/>
        <w:ind w:firstLine="480" w:firstLineChars="200"/>
        <w:rPr>
          <w:kern w:val="2"/>
          <w:sz w:val="24"/>
          <w:szCs w:val="24"/>
          <w:lang w:eastAsia="zh-CN"/>
        </w:rPr>
      </w:pPr>
      <w:r>
        <w:rPr>
          <w:rFonts w:hint="eastAsia" w:cs="宋体" w:asciiTheme="minorEastAsia" w:hAnsiTheme="minorEastAsia" w:eastAsiaTheme="minorEastAsia"/>
          <w:color w:val="000000" w:themeColor="text1"/>
          <w:sz w:val="24"/>
          <w:szCs w:val="24"/>
          <w:lang w:eastAsia="zh-CN"/>
        </w:rPr>
        <w:t>创中国箱包行业第一品牌</w:t>
      </w:r>
      <w:r>
        <w:rPr>
          <w:rFonts w:hint="eastAsia" w:cs="宋体"/>
          <w:color w:val="000000"/>
          <w:sz w:val="24"/>
          <w:szCs w:val="24"/>
          <w:lang w:eastAsia="zh-CN"/>
        </w:rPr>
        <w:t>。</w:t>
      </w:r>
    </w:p>
    <w:p>
      <w:pPr>
        <w:pStyle w:val="6"/>
        <w:spacing w:line="360" w:lineRule="auto"/>
        <w:ind w:left="752" w:right="5786" w:hanging="524"/>
        <w:rPr>
          <w:b/>
          <w:bCs/>
          <w:spacing w:val="1"/>
          <w:w w:val="95"/>
          <w:sz w:val="24"/>
          <w:szCs w:val="24"/>
          <w:lang w:eastAsia="zh-CN"/>
        </w:rPr>
      </w:pPr>
      <w:r>
        <w:rPr>
          <w:rFonts w:cs="Cambria"/>
          <w:b/>
          <w:bCs/>
          <w:sz w:val="24"/>
          <w:szCs w:val="24"/>
          <w:lang w:eastAsia="zh-CN"/>
        </w:rPr>
        <w:t>1.3</w:t>
      </w:r>
      <w:r>
        <w:rPr>
          <w:rFonts w:hint="eastAsia"/>
          <w:b/>
          <w:bCs/>
          <w:sz w:val="24"/>
          <w:szCs w:val="24"/>
          <w:lang w:eastAsia="zh-CN"/>
        </w:rPr>
        <w:t>核心</w:t>
      </w:r>
      <w:r>
        <w:rPr>
          <w:rFonts w:hint="eastAsia"/>
          <w:b/>
          <w:bCs/>
          <w:spacing w:val="2"/>
          <w:sz w:val="24"/>
          <w:szCs w:val="24"/>
          <w:lang w:eastAsia="zh-CN"/>
        </w:rPr>
        <w:t>价</w:t>
      </w:r>
      <w:r>
        <w:rPr>
          <w:rFonts w:hint="eastAsia"/>
          <w:b/>
          <w:bCs/>
          <w:sz w:val="24"/>
          <w:szCs w:val="24"/>
          <w:lang w:eastAsia="zh-CN"/>
        </w:rPr>
        <w:t>值观</w:t>
      </w:r>
    </w:p>
    <w:p>
      <w:pPr>
        <w:pStyle w:val="6"/>
        <w:spacing w:line="360" w:lineRule="auto"/>
        <w:ind w:right="299" w:firstLine="480" w:firstLineChars="200"/>
        <w:rPr>
          <w:rFonts w:cs="宋体"/>
          <w:color w:val="000000"/>
          <w:sz w:val="24"/>
          <w:szCs w:val="24"/>
          <w:lang w:eastAsia="zh-CN"/>
        </w:rPr>
      </w:pPr>
      <w:r>
        <w:rPr>
          <w:rFonts w:hint="eastAsia" w:cs="宋体"/>
          <w:color w:val="000000"/>
          <w:sz w:val="24"/>
          <w:szCs w:val="24"/>
          <w:lang w:eastAsia="zh-CN"/>
        </w:rPr>
        <w:t>诚信、敬业、务实、创新。</w:t>
      </w:r>
    </w:p>
    <w:p>
      <w:pPr>
        <w:pStyle w:val="6"/>
        <w:spacing w:line="360" w:lineRule="auto"/>
        <w:ind w:left="750" w:right="3459" w:hanging="521"/>
        <w:rPr>
          <w:b/>
          <w:bCs/>
          <w:kern w:val="2"/>
          <w:sz w:val="24"/>
          <w:szCs w:val="24"/>
          <w:lang w:eastAsia="zh-CN"/>
        </w:rPr>
      </w:pPr>
      <w:r>
        <w:rPr>
          <w:b/>
          <w:bCs/>
          <w:kern w:val="2"/>
          <w:sz w:val="24"/>
          <w:szCs w:val="24"/>
          <w:lang w:eastAsia="zh-CN"/>
        </w:rPr>
        <w:t>1.</w:t>
      </w:r>
      <w:r>
        <w:rPr>
          <w:rFonts w:hint="eastAsia"/>
          <w:b/>
          <w:bCs/>
          <w:kern w:val="2"/>
          <w:sz w:val="24"/>
          <w:szCs w:val="24"/>
          <w:lang w:eastAsia="zh-CN"/>
        </w:rPr>
        <w:t>4 公司经营理念：</w:t>
      </w:r>
    </w:p>
    <w:p>
      <w:pPr>
        <w:pStyle w:val="6"/>
        <w:tabs>
          <w:tab w:val="left" w:pos="5954"/>
        </w:tabs>
        <w:spacing w:line="360" w:lineRule="auto"/>
        <w:ind w:left="284" w:leftChars="129" w:right="9" w:firstLine="480" w:firstLineChars="200"/>
        <w:rPr>
          <w:kern w:val="2"/>
          <w:sz w:val="24"/>
          <w:szCs w:val="24"/>
          <w:lang w:eastAsia="zh-CN"/>
        </w:rPr>
      </w:pPr>
      <w:r>
        <w:rPr>
          <w:rFonts w:hint="eastAsia" w:cs="宋体"/>
          <w:color w:val="000000"/>
          <w:sz w:val="24"/>
          <w:szCs w:val="24"/>
          <w:lang w:eastAsia="zh-CN"/>
        </w:rPr>
        <w:t xml:space="preserve">客户至上，以诚取信，服务社会，回报社会。 </w:t>
      </w:r>
    </w:p>
    <w:p>
      <w:pPr>
        <w:pStyle w:val="6"/>
        <w:spacing w:line="360" w:lineRule="auto"/>
        <w:ind w:left="750" w:right="3459" w:hanging="521"/>
        <w:rPr>
          <w:kern w:val="2"/>
          <w:sz w:val="24"/>
          <w:szCs w:val="24"/>
          <w:lang w:eastAsia="zh-CN"/>
        </w:rPr>
      </w:pPr>
      <w:r>
        <w:rPr>
          <w:b/>
          <w:bCs/>
          <w:kern w:val="2"/>
          <w:sz w:val="24"/>
          <w:szCs w:val="24"/>
          <w:lang w:eastAsia="zh-CN"/>
        </w:rPr>
        <w:t>1.</w:t>
      </w:r>
      <w:r>
        <w:rPr>
          <w:rFonts w:hint="eastAsia"/>
          <w:b/>
          <w:bCs/>
          <w:kern w:val="2"/>
          <w:sz w:val="24"/>
          <w:szCs w:val="24"/>
          <w:lang w:eastAsia="zh-CN"/>
        </w:rPr>
        <w:t>5 企业精神：</w:t>
      </w:r>
    </w:p>
    <w:p>
      <w:pPr>
        <w:pStyle w:val="6"/>
        <w:spacing w:line="360" w:lineRule="auto"/>
        <w:ind w:left="220" w:leftChars="100" w:firstLine="480" w:firstLineChars="200"/>
        <w:rPr>
          <w:rFonts w:cs="宋体"/>
          <w:color w:val="000000"/>
          <w:sz w:val="24"/>
          <w:szCs w:val="24"/>
          <w:lang w:eastAsia="zh-CN"/>
        </w:rPr>
      </w:pPr>
      <w:r>
        <w:rPr>
          <w:rFonts w:hint="eastAsia" w:cs="宋体"/>
          <w:color w:val="000000"/>
          <w:sz w:val="24"/>
          <w:szCs w:val="24"/>
          <w:lang w:eastAsia="zh-CN"/>
        </w:rPr>
        <w:t>严谨诚信，稳健务实。</w:t>
      </w:r>
    </w:p>
    <w:p>
      <w:pPr>
        <w:pStyle w:val="6"/>
        <w:spacing w:line="360" w:lineRule="auto"/>
        <w:ind w:left="220" w:leftChars="100"/>
        <w:rPr>
          <w:b/>
          <w:sz w:val="24"/>
          <w:szCs w:val="24"/>
          <w:lang w:eastAsia="zh-CN"/>
        </w:rPr>
      </w:pPr>
      <w:r>
        <w:rPr>
          <w:b/>
          <w:sz w:val="24"/>
          <w:szCs w:val="24"/>
          <w:lang w:eastAsia="zh-CN"/>
        </w:rPr>
        <w:t>1.</w:t>
      </w:r>
      <w:r>
        <w:rPr>
          <w:rFonts w:hint="eastAsia"/>
          <w:b/>
          <w:sz w:val="24"/>
          <w:szCs w:val="24"/>
          <w:lang w:eastAsia="zh-CN"/>
        </w:rPr>
        <w:t>6品质承诺</w:t>
      </w:r>
    </w:p>
    <w:p>
      <w:pPr>
        <w:widowControl/>
        <w:spacing w:line="360" w:lineRule="auto"/>
        <w:ind w:firstLine="720" w:firstLineChars="300"/>
        <w:rPr>
          <w:kern w:val="2"/>
          <w:sz w:val="24"/>
          <w:szCs w:val="24"/>
          <w:lang w:eastAsia="zh-CN"/>
        </w:rPr>
      </w:pPr>
      <w:r>
        <w:rPr>
          <w:rFonts w:hint="eastAsia" w:ascii="宋体" w:hAnsi="宋体"/>
          <w:bCs/>
          <w:sz w:val="24"/>
          <w:szCs w:val="24"/>
          <w:lang w:eastAsia="zh-CN"/>
        </w:rPr>
        <w:t>以客户为中心，生产客户满意的产品。</w:t>
      </w:r>
    </w:p>
    <w:p>
      <w:pPr>
        <w:pStyle w:val="6"/>
        <w:tabs>
          <w:tab w:val="left" w:pos="5954"/>
        </w:tabs>
        <w:spacing w:line="360" w:lineRule="auto"/>
        <w:ind w:left="750" w:right="9" w:hanging="521"/>
        <w:rPr>
          <w:rFonts w:hint="default"/>
          <w:b/>
          <w:sz w:val="24"/>
          <w:szCs w:val="24"/>
          <w:lang w:val="en-US" w:eastAsia="zh-CN"/>
        </w:rPr>
      </w:pPr>
      <w:r>
        <w:rPr>
          <w:b/>
          <w:sz w:val="24"/>
          <w:szCs w:val="24"/>
          <w:lang w:eastAsia="zh-CN"/>
        </w:rPr>
        <w:t>1.</w:t>
      </w:r>
      <w:r>
        <w:rPr>
          <w:rFonts w:hint="eastAsia"/>
          <w:b/>
          <w:sz w:val="24"/>
          <w:szCs w:val="24"/>
          <w:lang w:eastAsia="zh-CN"/>
        </w:rPr>
        <w:t>7</w:t>
      </w:r>
      <w:r>
        <w:rPr>
          <w:b/>
          <w:sz w:val="24"/>
          <w:szCs w:val="24"/>
          <w:lang w:eastAsia="zh-CN"/>
        </w:rPr>
        <w:tab/>
      </w:r>
      <w:r>
        <w:rPr>
          <w:rFonts w:hint="eastAsia"/>
          <w:b/>
          <w:sz w:val="24"/>
          <w:szCs w:val="24"/>
          <w:lang w:eastAsia="zh-CN"/>
        </w:rPr>
        <w:t>质量</w:t>
      </w:r>
      <w:r>
        <w:rPr>
          <w:rFonts w:hint="eastAsia"/>
          <w:b/>
          <w:sz w:val="24"/>
          <w:szCs w:val="24"/>
          <w:lang w:val="en-US" w:eastAsia="zh-CN"/>
        </w:rPr>
        <w:t>方针</w:t>
      </w:r>
    </w:p>
    <w:p>
      <w:pPr>
        <w:spacing w:line="420" w:lineRule="exact"/>
        <w:ind w:firstLine="720" w:firstLineChars="300"/>
        <w:jc w:val="both"/>
        <w:rPr>
          <w:spacing w:val="2"/>
          <w:lang w:eastAsia="zh-CN"/>
        </w:rPr>
      </w:pPr>
      <w:r>
        <w:rPr>
          <w:rFonts w:hint="eastAsia" w:ascii="宋体" w:hAnsi="宋体" w:cs="宋体"/>
          <w:color w:val="000000"/>
          <w:sz w:val="24"/>
          <w:szCs w:val="24"/>
          <w:lang w:val="en-US" w:eastAsia="zh-CN" w:bidi="ar-SA"/>
        </w:rPr>
        <w:t>人人品管、追求卓越、顾客满意、铸造品牌</w:t>
      </w:r>
      <w:r>
        <w:rPr>
          <w:rFonts w:hint="eastAsia" w:ascii="宋体" w:hAnsi="宋体" w:eastAsia="宋体"/>
          <w:bCs/>
          <w:sz w:val="24"/>
          <w:szCs w:val="24"/>
          <w:lang w:eastAsia="zh-CN"/>
        </w:rPr>
        <w:t>。</w:t>
      </w: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both"/>
        <w:rPr>
          <w:spacing w:val="2"/>
          <w:lang w:eastAsia="zh-CN"/>
        </w:rPr>
      </w:pPr>
    </w:p>
    <w:p>
      <w:pPr>
        <w:pStyle w:val="28"/>
        <w:ind w:right="198"/>
        <w:jc w:val="center"/>
        <w:rPr>
          <w:lang w:eastAsia="zh-CN"/>
        </w:rPr>
      </w:pPr>
      <w:bookmarkStart w:id="14" w:name="_Toc24912741"/>
      <w:bookmarkStart w:id="15" w:name="_Toc26340_WPSOffice_Level2"/>
      <w:r>
        <w:rPr>
          <w:rFonts w:hint="eastAsia"/>
          <w:spacing w:val="2"/>
          <w:lang w:eastAsia="zh-CN"/>
        </w:rPr>
        <w:t>第二</w:t>
      </w:r>
      <w:r>
        <w:rPr>
          <w:rFonts w:hint="eastAsia"/>
          <w:lang w:eastAsia="zh-CN"/>
        </w:rPr>
        <w:t xml:space="preserve">章 </w:t>
      </w:r>
      <w:r>
        <w:rPr>
          <w:rFonts w:hint="eastAsia"/>
          <w:spacing w:val="2"/>
          <w:lang w:eastAsia="zh-CN"/>
        </w:rPr>
        <w:t>质量管</w:t>
      </w:r>
      <w:r>
        <w:rPr>
          <w:rFonts w:hint="eastAsia"/>
          <w:lang w:eastAsia="zh-CN"/>
        </w:rPr>
        <w:t>理</w:t>
      </w:r>
      <w:bookmarkEnd w:id="14"/>
      <w:bookmarkEnd w:id="15"/>
    </w:p>
    <w:p>
      <w:pPr>
        <w:spacing w:before="2" w:line="110" w:lineRule="exact"/>
        <w:rPr>
          <w:sz w:val="11"/>
          <w:szCs w:val="11"/>
          <w:lang w:eastAsia="zh-CN"/>
        </w:rPr>
      </w:pPr>
    </w:p>
    <w:p>
      <w:pPr>
        <w:spacing w:line="200" w:lineRule="exact"/>
        <w:rPr>
          <w:sz w:val="20"/>
          <w:szCs w:val="20"/>
          <w:lang w:eastAsia="zh-CN"/>
        </w:rPr>
      </w:pPr>
    </w:p>
    <w:p>
      <w:pPr>
        <w:pStyle w:val="6"/>
        <w:rPr>
          <w:rFonts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eastAsia="zh-CN"/>
        </w:rPr>
        <w:t>2.1质量</w:t>
      </w:r>
      <w:r>
        <w:rPr>
          <w:rFonts w:hint="eastAsia" w:asciiTheme="majorEastAsia" w:hAnsiTheme="majorEastAsia" w:eastAsiaTheme="majorEastAsia" w:cstheme="majorEastAsia"/>
          <w:b/>
          <w:bCs/>
          <w:spacing w:val="2"/>
          <w:lang w:eastAsia="zh-CN"/>
        </w:rPr>
        <w:t>管</w:t>
      </w:r>
      <w:r>
        <w:rPr>
          <w:rFonts w:hint="eastAsia" w:asciiTheme="majorEastAsia" w:hAnsiTheme="majorEastAsia" w:eastAsiaTheme="majorEastAsia" w:cstheme="majorEastAsia"/>
          <w:b/>
          <w:bCs/>
          <w:lang w:eastAsia="zh-CN"/>
        </w:rPr>
        <w:t>理机构</w:t>
      </w:r>
    </w:p>
    <w:p>
      <w:pPr>
        <w:spacing w:before="20" w:line="200" w:lineRule="exact"/>
        <w:rPr>
          <w:sz w:val="20"/>
          <w:szCs w:val="20"/>
          <w:lang w:eastAsia="zh-CN"/>
        </w:rPr>
      </w:pPr>
    </w:p>
    <w:p>
      <w:pPr>
        <w:pStyle w:val="6"/>
        <w:numPr>
          <w:ilvl w:val="2"/>
          <w:numId w:val="4"/>
        </w:numPr>
        <w:tabs>
          <w:tab w:val="left" w:pos="937"/>
        </w:tabs>
        <w:ind w:left="937"/>
        <w:rPr>
          <w:color w:val="000000" w:themeColor="text1"/>
        </w:rPr>
      </w:pPr>
      <w:r>
        <w:rPr>
          <w:rFonts w:hint="eastAsia"/>
          <w:color w:val="000000" w:themeColor="text1"/>
          <w:spacing w:val="2"/>
          <w:lang w:eastAsia="zh-CN"/>
        </w:rPr>
        <w:t>管理</w:t>
      </w:r>
      <w:r>
        <w:rPr>
          <w:rFonts w:hint="eastAsia"/>
          <w:color w:val="000000" w:themeColor="text1"/>
          <w:spacing w:val="2"/>
        </w:rPr>
        <w:t>组</w:t>
      </w:r>
      <w:r>
        <w:rPr>
          <w:rFonts w:hint="eastAsia"/>
          <w:color w:val="000000" w:themeColor="text1"/>
        </w:rPr>
        <w:t>织架</w:t>
      </w:r>
      <w:r>
        <w:rPr>
          <w:rFonts w:hint="eastAsia"/>
          <w:color w:val="000000" w:themeColor="text1"/>
          <w:spacing w:val="2"/>
        </w:rPr>
        <w:t>构</w:t>
      </w:r>
      <w:r>
        <w:rPr>
          <w:rFonts w:hint="eastAsia"/>
          <w:color w:val="000000" w:themeColor="text1"/>
        </w:rPr>
        <w:t>图</w:t>
      </w:r>
      <w:r>
        <w:drawing>
          <wp:inline distT="0" distB="0" distL="114300" distR="114300">
            <wp:extent cx="5267960" cy="3276600"/>
            <wp:effectExtent l="0" t="0" r="889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7960" cy="3276600"/>
                    </a:xfrm>
                    <a:prstGeom prst="rect">
                      <a:avLst/>
                    </a:prstGeom>
                    <a:noFill/>
                    <a:ln>
                      <a:noFill/>
                    </a:ln>
                  </pic:spPr>
                </pic:pic>
              </a:graphicData>
            </a:graphic>
          </wp:inline>
        </w:drawing>
      </w:r>
    </w:p>
    <w:p>
      <w:pPr>
        <w:pStyle w:val="6"/>
        <w:spacing w:line="440" w:lineRule="exact"/>
        <w:ind w:firstLine="520"/>
        <w:rPr>
          <w:spacing w:val="2"/>
          <w:sz w:val="24"/>
          <w:szCs w:val="24"/>
          <w:lang w:eastAsia="zh-CN"/>
        </w:rPr>
      </w:pPr>
      <w:r>
        <w:rPr>
          <w:rFonts w:hint="eastAsia"/>
          <w:spacing w:val="2"/>
          <w:sz w:val="24"/>
          <w:szCs w:val="24"/>
          <w:lang w:eastAsia="zh-CN"/>
        </w:rPr>
        <w:t>公司的质量管理由最高领导者亲自挂帅，对本公司产品质量工作全面负责，组织制定公司质量发展战略、质量目标、年度质量工作计划和质量保证措施。制订了各级人员的质量职责，组织一年一度的管理评审，实施质量改善、质量攻关等活动。品质部是公司质量管理的独立部门，实行质量安全“一票否决制”，确保出厂合格率100%。</w:t>
      </w:r>
    </w:p>
    <w:p>
      <w:pPr>
        <w:pStyle w:val="6"/>
        <w:spacing w:line="440" w:lineRule="exact"/>
        <w:ind w:firstLine="520"/>
        <w:rPr>
          <w:spacing w:val="2"/>
          <w:sz w:val="24"/>
          <w:szCs w:val="24"/>
          <w:lang w:eastAsia="zh-CN"/>
        </w:rPr>
      </w:pPr>
      <w:r>
        <w:rPr>
          <w:rFonts w:hint="eastAsia"/>
          <w:spacing w:val="2"/>
          <w:sz w:val="24"/>
          <w:szCs w:val="24"/>
          <w:lang w:eastAsia="zh-CN"/>
        </w:rPr>
        <w:t>2.1.1管理者代表</w:t>
      </w:r>
    </w:p>
    <w:p>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经公司最高管理者任命、并授权其在质量管理体系方面指挥和控制系统。负责推动公司质量方针、目标、战略的具体实施、评价和改进。具体职责包括：</w:t>
      </w:r>
    </w:p>
    <w:p>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--按照ISO9001：2015标准，建设和完善公司质量管理体系，提升质量管理水平；</w:t>
      </w:r>
    </w:p>
    <w:p>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--根据公司发展的战略需要，组织更改、修订和完善《管理手册》和相关文件；</w:t>
      </w:r>
    </w:p>
    <w:p>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--宣传、贯彻公司质量方针，并对各单位质量管理体系运行情况进行监督、考核；</w:t>
      </w:r>
    </w:p>
    <w:p>
      <w:pPr>
        <w:pStyle w:val="6"/>
        <w:spacing w:line="440" w:lineRule="exact"/>
        <w:ind w:left="330" w:firstLine="441" w:firstLineChars="18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--督促</w:t>
      </w:r>
      <w:r>
        <w:rPr>
          <w:rFonts w:hint="eastAsia" w:asciiTheme="minorEastAsia" w:hAnsiTheme="minorEastAsia" w:eastAsiaTheme="minorEastAsia" w:cstheme="minorEastAsia"/>
          <w:spacing w:val="2"/>
          <w:sz w:val="24"/>
          <w:szCs w:val="24"/>
          <w:lang w:eastAsia="zh-CN"/>
        </w:rPr>
        <w:t>业</w:t>
      </w:r>
      <w:r>
        <w:rPr>
          <w:rFonts w:hint="eastAsia" w:asciiTheme="minorEastAsia" w:hAnsiTheme="minorEastAsia" w:eastAsiaTheme="minorEastAsia" w:cstheme="minorEastAsia"/>
          <w:sz w:val="24"/>
          <w:szCs w:val="24"/>
          <w:lang w:eastAsia="zh-CN"/>
        </w:rPr>
        <w:t>务部</w:t>
      </w:r>
      <w:r>
        <w:rPr>
          <w:rFonts w:hint="eastAsia" w:asciiTheme="minorEastAsia" w:hAnsiTheme="minorEastAsia" w:eastAsiaTheme="minorEastAsia" w:cstheme="minorEastAsia"/>
          <w:spacing w:val="2"/>
          <w:sz w:val="24"/>
          <w:szCs w:val="24"/>
          <w:lang w:eastAsia="zh-CN"/>
        </w:rPr>
        <w:t>门</w:t>
      </w:r>
      <w:r>
        <w:rPr>
          <w:rFonts w:hint="eastAsia" w:asciiTheme="minorEastAsia" w:hAnsiTheme="minorEastAsia" w:eastAsiaTheme="minorEastAsia" w:cstheme="minorEastAsia"/>
          <w:sz w:val="24"/>
          <w:szCs w:val="24"/>
          <w:lang w:eastAsia="zh-CN"/>
        </w:rPr>
        <w:t>质</w:t>
      </w:r>
      <w:r>
        <w:rPr>
          <w:rFonts w:hint="eastAsia" w:asciiTheme="minorEastAsia" w:hAnsiTheme="minorEastAsia" w:eastAsiaTheme="minorEastAsia" w:cstheme="minorEastAsia"/>
          <w:spacing w:val="2"/>
          <w:sz w:val="24"/>
          <w:szCs w:val="24"/>
          <w:lang w:eastAsia="zh-CN"/>
        </w:rPr>
        <w:t>量</w:t>
      </w:r>
      <w:r>
        <w:rPr>
          <w:rFonts w:hint="eastAsia" w:asciiTheme="minorEastAsia" w:hAnsiTheme="minorEastAsia" w:eastAsiaTheme="minorEastAsia" w:cstheme="minorEastAsia"/>
          <w:sz w:val="24"/>
          <w:szCs w:val="24"/>
          <w:lang w:eastAsia="zh-CN"/>
        </w:rPr>
        <w:t>改进计</w:t>
      </w:r>
      <w:r>
        <w:rPr>
          <w:rFonts w:hint="eastAsia" w:asciiTheme="minorEastAsia" w:hAnsiTheme="minorEastAsia" w:eastAsiaTheme="minorEastAsia" w:cstheme="minorEastAsia"/>
          <w:spacing w:val="2"/>
          <w:sz w:val="24"/>
          <w:szCs w:val="24"/>
          <w:lang w:eastAsia="zh-CN"/>
        </w:rPr>
        <w:t>划</w:t>
      </w:r>
      <w:r>
        <w:rPr>
          <w:rFonts w:hint="eastAsia" w:asciiTheme="minorEastAsia" w:hAnsiTheme="minorEastAsia" w:eastAsiaTheme="minorEastAsia" w:cstheme="minorEastAsia"/>
          <w:sz w:val="24"/>
          <w:szCs w:val="24"/>
          <w:lang w:eastAsia="zh-CN"/>
        </w:rPr>
        <w:t>实施</w:t>
      </w:r>
      <w:r>
        <w:rPr>
          <w:rFonts w:hint="eastAsia" w:asciiTheme="minorEastAsia" w:hAnsiTheme="minorEastAsia" w:eastAsiaTheme="minorEastAsia" w:cstheme="minorEastAsia"/>
          <w:spacing w:val="2"/>
          <w:sz w:val="24"/>
          <w:szCs w:val="24"/>
          <w:lang w:eastAsia="zh-CN"/>
        </w:rPr>
        <w:t>和</w:t>
      </w:r>
      <w:r>
        <w:rPr>
          <w:rFonts w:hint="eastAsia" w:asciiTheme="minorEastAsia" w:hAnsiTheme="minorEastAsia" w:eastAsiaTheme="minorEastAsia" w:cstheme="minorEastAsia"/>
          <w:sz w:val="24"/>
          <w:szCs w:val="24"/>
          <w:lang w:eastAsia="zh-CN"/>
        </w:rPr>
        <w:t>质</w:t>
      </w:r>
      <w:r>
        <w:rPr>
          <w:rFonts w:hint="eastAsia" w:asciiTheme="minorEastAsia" w:hAnsiTheme="minorEastAsia" w:eastAsiaTheme="minorEastAsia" w:cstheme="minorEastAsia"/>
          <w:spacing w:val="2"/>
          <w:sz w:val="24"/>
          <w:szCs w:val="24"/>
          <w:lang w:eastAsia="zh-CN"/>
        </w:rPr>
        <w:t>量</w:t>
      </w:r>
      <w:r>
        <w:rPr>
          <w:rFonts w:hint="eastAsia" w:asciiTheme="minorEastAsia" w:hAnsiTheme="minorEastAsia" w:eastAsiaTheme="minorEastAsia" w:cstheme="minorEastAsia"/>
          <w:sz w:val="24"/>
          <w:szCs w:val="24"/>
          <w:lang w:eastAsia="zh-CN"/>
        </w:rPr>
        <w:t>意识的</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z w:val="24"/>
          <w:szCs w:val="24"/>
          <w:lang w:eastAsia="zh-CN"/>
        </w:rPr>
        <w:t>升</w:t>
      </w:r>
      <w:r>
        <w:rPr>
          <w:rFonts w:hint="eastAsia" w:asciiTheme="minorEastAsia" w:hAnsiTheme="minorEastAsia" w:eastAsiaTheme="minorEastAsia" w:cstheme="minorEastAsia"/>
          <w:spacing w:val="-111"/>
          <w:sz w:val="24"/>
          <w:szCs w:val="24"/>
          <w:lang w:eastAsia="zh-CN"/>
        </w:rPr>
        <w:t>，</w:t>
      </w:r>
      <w:r>
        <w:rPr>
          <w:rFonts w:hint="eastAsia" w:asciiTheme="minorEastAsia" w:hAnsiTheme="minorEastAsia" w:eastAsiaTheme="minorEastAsia" w:cstheme="minorEastAsia"/>
          <w:sz w:val="24"/>
          <w:szCs w:val="24"/>
          <w:lang w:eastAsia="zh-CN"/>
        </w:rPr>
        <w:t>改善</w:t>
      </w:r>
      <w:r>
        <w:rPr>
          <w:rFonts w:hint="eastAsia" w:asciiTheme="minorEastAsia" w:hAnsiTheme="minorEastAsia" w:eastAsiaTheme="minorEastAsia" w:cstheme="minorEastAsia"/>
          <w:spacing w:val="2"/>
          <w:sz w:val="24"/>
          <w:szCs w:val="24"/>
          <w:lang w:eastAsia="zh-CN"/>
        </w:rPr>
        <w:t>质</w:t>
      </w:r>
      <w:r>
        <w:rPr>
          <w:rFonts w:hint="eastAsia" w:asciiTheme="minorEastAsia" w:hAnsiTheme="minorEastAsia" w:eastAsiaTheme="minorEastAsia" w:cstheme="minorEastAsia"/>
          <w:sz w:val="24"/>
          <w:szCs w:val="24"/>
          <w:lang w:eastAsia="zh-CN"/>
        </w:rPr>
        <w:t>量管理</w:t>
      </w:r>
      <w:r>
        <w:rPr>
          <w:rFonts w:hint="eastAsia" w:asciiTheme="minorEastAsia" w:hAnsiTheme="minorEastAsia" w:eastAsiaTheme="minorEastAsia" w:cstheme="minorEastAsia"/>
          <w:spacing w:val="2"/>
          <w:sz w:val="24"/>
          <w:szCs w:val="24"/>
          <w:lang w:eastAsia="zh-CN"/>
        </w:rPr>
        <w:t>体</w:t>
      </w:r>
      <w:r>
        <w:rPr>
          <w:rFonts w:hint="eastAsia" w:asciiTheme="minorEastAsia" w:hAnsiTheme="minorEastAsia" w:eastAsiaTheme="minorEastAsia" w:cstheme="minorEastAsia"/>
          <w:sz w:val="24"/>
          <w:szCs w:val="24"/>
          <w:lang w:eastAsia="zh-CN"/>
        </w:rPr>
        <w:t>系运行效果；</w:t>
      </w:r>
    </w:p>
    <w:p>
      <w:pPr>
        <w:pStyle w:val="6"/>
        <w:spacing w:line="440" w:lineRule="exact"/>
        <w:ind w:left="288" w:leftChars="131"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--公司就质量管理的有关事宜与外部联络和通；</w:t>
      </w:r>
    </w:p>
    <w:p>
      <w:pPr>
        <w:pStyle w:val="6"/>
        <w:spacing w:line="440" w:lineRule="exact"/>
        <w:ind w:left="288" w:leftChars="131"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--向公司汇报质量管理体系的业绩，包括改进的要求。</w:t>
      </w:r>
    </w:p>
    <w:p>
      <w:pPr>
        <w:pStyle w:val="6"/>
        <w:spacing w:line="440" w:lineRule="exact"/>
        <w:ind w:firstLine="520"/>
        <w:rPr>
          <w:spacing w:val="2"/>
          <w:sz w:val="24"/>
          <w:szCs w:val="24"/>
          <w:lang w:eastAsia="zh-CN"/>
        </w:rPr>
      </w:pPr>
      <w:r>
        <w:rPr>
          <w:rFonts w:hint="eastAsia"/>
          <w:spacing w:val="2"/>
          <w:sz w:val="24"/>
          <w:szCs w:val="24"/>
          <w:lang w:eastAsia="zh-CN"/>
        </w:rPr>
        <w:t>2.1.2 品质部</w:t>
      </w:r>
    </w:p>
    <w:p>
      <w:pPr>
        <w:pStyle w:val="6"/>
        <w:spacing w:line="440" w:lineRule="exact"/>
        <w:ind w:firstLine="520"/>
        <w:rPr>
          <w:spacing w:val="2"/>
          <w:sz w:val="24"/>
          <w:szCs w:val="24"/>
          <w:lang w:eastAsia="zh-CN"/>
        </w:rPr>
      </w:pPr>
      <w:r>
        <w:rPr>
          <w:rFonts w:hint="eastAsia"/>
          <w:spacing w:val="2"/>
          <w:sz w:val="24"/>
          <w:szCs w:val="24"/>
          <w:lang w:eastAsia="zh-CN"/>
        </w:rPr>
        <w:t>--负责组织指导数据分析方法的应用并监督；</w:t>
      </w:r>
    </w:p>
    <w:p>
      <w:pPr>
        <w:pStyle w:val="6"/>
        <w:spacing w:line="440" w:lineRule="exact"/>
        <w:ind w:firstLine="520"/>
        <w:rPr>
          <w:spacing w:val="2"/>
          <w:sz w:val="24"/>
          <w:szCs w:val="24"/>
          <w:lang w:eastAsia="zh-CN"/>
        </w:rPr>
      </w:pPr>
      <w:r>
        <w:rPr>
          <w:rFonts w:hint="eastAsia"/>
          <w:spacing w:val="2"/>
          <w:sz w:val="24"/>
          <w:szCs w:val="24"/>
          <w:lang w:eastAsia="zh-CN"/>
        </w:rPr>
        <w:t>--负责认证产品标志的管理。</w:t>
      </w:r>
    </w:p>
    <w:p>
      <w:pPr>
        <w:pStyle w:val="6"/>
        <w:spacing w:line="440" w:lineRule="exact"/>
        <w:ind w:firstLine="520"/>
        <w:rPr>
          <w:spacing w:val="2"/>
          <w:sz w:val="24"/>
          <w:szCs w:val="24"/>
          <w:lang w:eastAsia="zh-CN"/>
        </w:rPr>
      </w:pPr>
      <w:r>
        <w:rPr>
          <w:rFonts w:hint="eastAsia"/>
          <w:spacing w:val="2"/>
          <w:sz w:val="24"/>
          <w:szCs w:val="24"/>
          <w:lang w:eastAsia="zh-CN"/>
        </w:rPr>
        <w:t>--具体实施本过程的质量管理，开展各项质量管理活动，编制年度质量提升计划，支撑公司高品质制造及质量目标的实现；</w:t>
      </w:r>
    </w:p>
    <w:p>
      <w:pPr>
        <w:pStyle w:val="6"/>
        <w:spacing w:line="440" w:lineRule="exact"/>
        <w:ind w:firstLine="520"/>
        <w:rPr>
          <w:spacing w:val="2"/>
          <w:sz w:val="24"/>
          <w:szCs w:val="24"/>
          <w:lang w:eastAsia="zh-CN"/>
        </w:rPr>
      </w:pPr>
      <w:r>
        <w:rPr>
          <w:rFonts w:hint="eastAsia"/>
          <w:spacing w:val="2"/>
          <w:sz w:val="24"/>
          <w:szCs w:val="24"/>
          <w:lang w:eastAsia="zh-CN"/>
        </w:rPr>
        <w:t>--在董事长领导下，负责公司质量目标的层层分解落实；</w:t>
      </w:r>
    </w:p>
    <w:p>
      <w:pPr>
        <w:pStyle w:val="6"/>
        <w:spacing w:line="440" w:lineRule="exact"/>
        <w:ind w:firstLine="520"/>
        <w:rPr>
          <w:spacing w:val="2"/>
          <w:sz w:val="24"/>
          <w:szCs w:val="24"/>
          <w:lang w:eastAsia="zh-CN"/>
        </w:rPr>
      </w:pPr>
      <w:r>
        <w:rPr>
          <w:rFonts w:hint="eastAsia"/>
          <w:spacing w:val="2"/>
          <w:sz w:val="24"/>
          <w:szCs w:val="24"/>
          <w:lang w:eastAsia="zh-CN"/>
        </w:rPr>
        <w:t>--组织实施来料检验、过程检验、成品检验；</w:t>
      </w:r>
    </w:p>
    <w:p>
      <w:pPr>
        <w:pStyle w:val="6"/>
        <w:spacing w:line="440" w:lineRule="exact"/>
        <w:ind w:firstLine="520"/>
        <w:rPr>
          <w:spacing w:val="2"/>
          <w:sz w:val="24"/>
          <w:szCs w:val="24"/>
          <w:lang w:eastAsia="zh-CN"/>
        </w:rPr>
      </w:pPr>
      <w:r>
        <w:rPr>
          <w:rFonts w:hint="eastAsia"/>
          <w:spacing w:val="2"/>
          <w:sz w:val="24"/>
          <w:szCs w:val="24"/>
          <w:lang w:eastAsia="zh-CN"/>
        </w:rPr>
        <w:t>--根据产品标准和技术要求，编制进货、过程和最终产品检验标准；</w:t>
      </w:r>
    </w:p>
    <w:p>
      <w:pPr>
        <w:pStyle w:val="6"/>
        <w:spacing w:line="440" w:lineRule="exact"/>
        <w:ind w:firstLine="520"/>
        <w:rPr>
          <w:spacing w:val="2"/>
          <w:sz w:val="24"/>
          <w:szCs w:val="24"/>
          <w:lang w:eastAsia="zh-CN"/>
        </w:rPr>
      </w:pPr>
      <w:r>
        <w:rPr>
          <w:rFonts w:hint="eastAsia"/>
          <w:spacing w:val="2"/>
          <w:sz w:val="24"/>
          <w:szCs w:val="24"/>
          <w:lang w:eastAsia="zh-CN"/>
        </w:rPr>
        <w:t>--负责各部门内部组织对不合格品评审和处置，并对生产过程中出现和流转下工序的废品进行监控、确认；</w:t>
      </w:r>
    </w:p>
    <w:p>
      <w:pPr>
        <w:pStyle w:val="6"/>
        <w:spacing w:line="440" w:lineRule="exact"/>
        <w:ind w:firstLine="520"/>
        <w:rPr>
          <w:spacing w:val="2"/>
          <w:sz w:val="24"/>
          <w:szCs w:val="24"/>
          <w:lang w:eastAsia="zh-CN"/>
        </w:rPr>
      </w:pPr>
      <w:r>
        <w:rPr>
          <w:rFonts w:hint="eastAsia"/>
          <w:spacing w:val="2"/>
          <w:sz w:val="24"/>
          <w:szCs w:val="24"/>
          <w:lang w:eastAsia="zh-CN"/>
        </w:rPr>
        <w:t>--负责到期测量量具及测量设备的送检，正确使用监视测量装置；</w:t>
      </w:r>
    </w:p>
    <w:p>
      <w:pPr>
        <w:pStyle w:val="6"/>
        <w:spacing w:line="440" w:lineRule="exact"/>
        <w:ind w:firstLine="520"/>
        <w:rPr>
          <w:spacing w:val="2"/>
          <w:sz w:val="24"/>
          <w:szCs w:val="24"/>
          <w:lang w:eastAsia="zh-CN"/>
        </w:rPr>
      </w:pPr>
      <w:r>
        <w:rPr>
          <w:rFonts w:hint="eastAsia"/>
          <w:spacing w:val="2"/>
          <w:sz w:val="24"/>
          <w:szCs w:val="24"/>
          <w:lang w:eastAsia="zh-CN"/>
        </w:rPr>
        <w:t>--负责对质量数据的汇总、统计和分析，负责因产品质量问题所采取纠正措施实施的跟踪验证；</w:t>
      </w:r>
    </w:p>
    <w:p>
      <w:pPr>
        <w:pStyle w:val="6"/>
        <w:spacing w:line="440" w:lineRule="exact"/>
        <w:ind w:firstLine="520"/>
        <w:rPr>
          <w:spacing w:val="2"/>
          <w:sz w:val="24"/>
          <w:szCs w:val="24"/>
          <w:lang w:eastAsia="zh-CN"/>
        </w:rPr>
      </w:pPr>
      <w:r>
        <w:rPr>
          <w:rFonts w:hint="eastAsia"/>
          <w:spacing w:val="2"/>
          <w:sz w:val="24"/>
          <w:szCs w:val="24"/>
          <w:lang w:eastAsia="zh-CN"/>
        </w:rPr>
        <w:t>--负责协调、组织解决车间之间的工艺、质量问题；</w:t>
      </w:r>
    </w:p>
    <w:p>
      <w:pPr>
        <w:pStyle w:val="6"/>
        <w:spacing w:line="440" w:lineRule="exact"/>
        <w:ind w:firstLine="520"/>
        <w:rPr>
          <w:spacing w:val="2"/>
          <w:sz w:val="24"/>
          <w:szCs w:val="24"/>
          <w:lang w:eastAsia="zh-CN"/>
        </w:rPr>
      </w:pPr>
      <w:r>
        <w:rPr>
          <w:rFonts w:hint="eastAsia"/>
          <w:spacing w:val="2"/>
          <w:sz w:val="24"/>
          <w:szCs w:val="24"/>
          <w:lang w:eastAsia="zh-CN"/>
        </w:rPr>
        <w:t>--负责对本公司质量事故的调查、处理，跟进验证整改措施结果；</w:t>
      </w:r>
    </w:p>
    <w:p>
      <w:pPr>
        <w:pStyle w:val="6"/>
        <w:spacing w:line="440" w:lineRule="exact"/>
        <w:ind w:firstLine="520"/>
        <w:rPr>
          <w:spacing w:val="2"/>
          <w:sz w:val="24"/>
          <w:szCs w:val="24"/>
          <w:lang w:eastAsia="zh-CN"/>
        </w:rPr>
      </w:pPr>
      <w:r>
        <w:rPr>
          <w:rFonts w:hint="eastAsia"/>
          <w:spacing w:val="2"/>
          <w:sz w:val="24"/>
          <w:szCs w:val="24"/>
          <w:lang w:eastAsia="zh-CN"/>
        </w:rPr>
        <w:t>--负责参与合同评审；</w:t>
      </w:r>
    </w:p>
    <w:p>
      <w:pPr>
        <w:pStyle w:val="6"/>
        <w:spacing w:line="440" w:lineRule="exact"/>
        <w:ind w:firstLine="520"/>
        <w:rPr>
          <w:spacing w:val="2"/>
          <w:sz w:val="24"/>
          <w:szCs w:val="24"/>
          <w:lang w:eastAsia="zh-CN"/>
        </w:rPr>
      </w:pPr>
      <w:r>
        <w:rPr>
          <w:rFonts w:hint="eastAsia"/>
          <w:spacing w:val="2"/>
          <w:sz w:val="24"/>
          <w:szCs w:val="24"/>
          <w:lang w:eastAsia="zh-CN"/>
        </w:rPr>
        <w:t>--负责认证产品的例行检验和确认检验。</w:t>
      </w:r>
    </w:p>
    <w:p>
      <w:pPr>
        <w:pStyle w:val="6"/>
        <w:spacing w:line="440" w:lineRule="exact"/>
        <w:ind w:firstLine="520"/>
        <w:rPr>
          <w:spacing w:val="2"/>
          <w:sz w:val="24"/>
          <w:szCs w:val="24"/>
          <w:lang w:eastAsia="zh-CN"/>
        </w:rPr>
      </w:pPr>
      <w:r>
        <w:rPr>
          <w:rFonts w:hint="eastAsia"/>
          <w:spacing w:val="2"/>
          <w:sz w:val="24"/>
          <w:szCs w:val="24"/>
          <w:lang w:eastAsia="zh-CN"/>
        </w:rPr>
        <w:t>--组织实施产品客户验货等各项工作；</w:t>
      </w:r>
    </w:p>
    <w:p>
      <w:pPr>
        <w:pStyle w:val="6"/>
        <w:spacing w:line="440" w:lineRule="exact"/>
        <w:ind w:firstLine="520"/>
        <w:rPr>
          <w:spacing w:val="2"/>
          <w:sz w:val="24"/>
          <w:szCs w:val="24"/>
          <w:lang w:eastAsia="zh-CN"/>
        </w:rPr>
      </w:pPr>
      <w:r>
        <w:rPr>
          <w:rFonts w:hint="eastAsia"/>
          <w:spacing w:val="2"/>
          <w:sz w:val="24"/>
          <w:szCs w:val="24"/>
          <w:lang w:eastAsia="zh-CN"/>
        </w:rPr>
        <w:t>--根据产品标准和技术要求，进货、过程和最终检验标准的批准；</w:t>
      </w:r>
    </w:p>
    <w:p>
      <w:pPr>
        <w:pStyle w:val="6"/>
        <w:spacing w:line="440" w:lineRule="exact"/>
        <w:ind w:firstLine="520"/>
        <w:rPr>
          <w:spacing w:val="2"/>
          <w:sz w:val="24"/>
          <w:szCs w:val="24"/>
          <w:lang w:eastAsia="zh-CN"/>
        </w:rPr>
      </w:pPr>
      <w:r>
        <w:rPr>
          <w:rFonts w:hint="eastAsia"/>
          <w:spacing w:val="2"/>
          <w:sz w:val="24"/>
          <w:szCs w:val="24"/>
          <w:lang w:eastAsia="zh-CN"/>
        </w:rPr>
        <w:t>--负责对质量检验数据的汇总、统计和分析，以及所采取纠正措施实施的跟踪验证；</w:t>
      </w:r>
    </w:p>
    <w:p>
      <w:pPr>
        <w:pStyle w:val="6"/>
        <w:spacing w:line="440" w:lineRule="exact"/>
        <w:ind w:firstLine="520"/>
        <w:rPr>
          <w:spacing w:val="2"/>
          <w:sz w:val="24"/>
          <w:szCs w:val="24"/>
          <w:lang w:eastAsia="zh-CN"/>
        </w:rPr>
      </w:pPr>
      <w:r>
        <w:rPr>
          <w:rFonts w:hint="eastAsia"/>
          <w:spacing w:val="2"/>
          <w:sz w:val="24"/>
          <w:szCs w:val="24"/>
          <w:lang w:eastAsia="zh-CN"/>
        </w:rPr>
        <w:t>--负责对质量事故的调查、处理，跟进验证整改措施结果；</w:t>
      </w:r>
    </w:p>
    <w:p>
      <w:pPr>
        <w:pStyle w:val="6"/>
        <w:spacing w:line="440" w:lineRule="exact"/>
        <w:ind w:firstLine="520"/>
        <w:rPr>
          <w:spacing w:val="2"/>
          <w:sz w:val="24"/>
          <w:szCs w:val="24"/>
          <w:lang w:eastAsia="zh-CN"/>
        </w:rPr>
      </w:pPr>
      <w:r>
        <w:rPr>
          <w:rFonts w:hint="eastAsia"/>
          <w:spacing w:val="2"/>
          <w:sz w:val="24"/>
          <w:szCs w:val="24"/>
          <w:lang w:eastAsia="zh-CN"/>
        </w:rPr>
        <w:t>--负责质量事故的调查和提出处理意见；</w:t>
      </w:r>
    </w:p>
    <w:p>
      <w:pPr>
        <w:pStyle w:val="6"/>
        <w:spacing w:line="440" w:lineRule="exact"/>
        <w:ind w:firstLine="520"/>
        <w:rPr>
          <w:spacing w:val="2"/>
          <w:sz w:val="24"/>
          <w:szCs w:val="24"/>
          <w:lang w:eastAsia="zh-CN"/>
        </w:rPr>
      </w:pPr>
      <w:r>
        <w:rPr>
          <w:rFonts w:hint="eastAsia"/>
          <w:spacing w:val="2"/>
          <w:sz w:val="24"/>
          <w:szCs w:val="24"/>
          <w:lang w:eastAsia="zh-CN"/>
        </w:rPr>
        <w:t>--负责客户投诉处理与督导责任单位改进；</w:t>
      </w:r>
    </w:p>
    <w:p>
      <w:pPr>
        <w:pStyle w:val="6"/>
        <w:spacing w:line="440" w:lineRule="exact"/>
        <w:ind w:firstLine="520"/>
        <w:rPr>
          <w:spacing w:val="2"/>
          <w:sz w:val="24"/>
          <w:szCs w:val="24"/>
          <w:lang w:eastAsia="zh-CN"/>
        </w:rPr>
      </w:pPr>
      <w:r>
        <w:rPr>
          <w:rFonts w:hint="eastAsia"/>
          <w:spacing w:val="2"/>
          <w:sz w:val="24"/>
          <w:szCs w:val="24"/>
          <w:lang w:eastAsia="zh-CN"/>
        </w:rPr>
        <w:t>--负责对特殊工序、关键工序进行控制、监督和检查；</w:t>
      </w:r>
    </w:p>
    <w:p>
      <w:pPr>
        <w:pStyle w:val="6"/>
        <w:spacing w:line="440" w:lineRule="exact"/>
        <w:ind w:firstLine="520"/>
        <w:rPr>
          <w:spacing w:val="2"/>
          <w:sz w:val="24"/>
          <w:szCs w:val="24"/>
          <w:lang w:eastAsia="zh-CN"/>
        </w:rPr>
      </w:pPr>
      <w:r>
        <w:rPr>
          <w:rFonts w:hint="eastAsia"/>
          <w:spacing w:val="2"/>
          <w:sz w:val="24"/>
          <w:szCs w:val="24"/>
          <w:lang w:eastAsia="zh-CN"/>
        </w:rPr>
        <w:t>--负责参与供应商的评审、评定、绩效汇总，对供应商有最终的否决权；</w:t>
      </w:r>
    </w:p>
    <w:p>
      <w:pPr>
        <w:pStyle w:val="6"/>
        <w:spacing w:line="440" w:lineRule="exact"/>
        <w:ind w:firstLine="520"/>
        <w:rPr>
          <w:spacing w:val="2"/>
          <w:sz w:val="24"/>
          <w:szCs w:val="24"/>
          <w:lang w:eastAsia="zh-CN"/>
        </w:rPr>
      </w:pPr>
      <w:r>
        <w:rPr>
          <w:rFonts w:hint="eastAsia"/>
          <w:spacing w:val="2"/>
          <w:sz w:val="24"/>
          <w:szCs w:val="24"/>
          <w:lang w:eastAsia="zh-CN"/>
        </w:rPr>
        <w:t>--负责公司质量成本的统计、汇总和分析；</w:t>
      </w:r>
    </w:p>
    <w:p>
      <w:pPr>
        <w:pStyle w:val="6"/>
        <w:spacing w:line="440" w:lineRule="exact"/>
        <w:ind w:firstLine="520"/>
        <w:rPr>
          <w:spacing w:val="2"/>
          <w:sz w:val="24"/>
          <w:szCs w:val="24"/>
          <w:lang w:eastAsia="zh-CN"/>
        </w:rPr>
      </w:pPr>
      <w:r>
        <w:rPr>
          <w:rFonts w:hint="eastAsia"/>
          <w:spacing w:val="2"/>
          <w:sz w:val="24"/>
          <w:szCs w:val="24"/>
          <w:lang w:eastAsia="zh-CN"/>
        </w:rPr>
        <w:t>--负责对认证产品一致性的监视，确保产品的一致性。</w:t>
      </w:r>
    </w:p>
    <w:p>
      <w:pPr>
        <w:pStyle w:val="6"/>
        <w:spacing w:line="440" w:lineRule="exact"/>
        <w:ind w:firstLine="520"/>
        <w:rPr>
          <w:spacing w:val="2"/>
          <w:sz w:val="24"/>
          <w:szCs w:val="24"/>
          <w:lang w:eastAsia="zh-CN"/>
        </w:rPr>
      </w:pPr>
      <w:r>
        <w:rPr>
          <w:rFonts w:hint="eastAsia"/>
          <w:spacing w:val="2"/>
          <w:sz w:val="24"/>
          <w:szCs w:val="24"/>
          <w:lang w:eastAsia="zh-CN"/>
        </w:rPr>
        <w:t>--负责产品各项认证检测工作；</w:t>
      </w:r>
    </w:p>
    <w:p>
      <w:pPr>
        <w:pStyle w:val="6"/>
        <w:spacing w:line="440" w:lineRule="exact"/>
        <w:ind w:firstLine="520"/>
        <w:rPr>
          <w:spacing w:val="2"/>
          <w:sz w:val="24"/>
          <w:szCs w:val="24"/>
          <w:lang w:eastAsia="zh-CN"/>
        </w:rPr>
      </w:pPr>
      <w:r>
        <w:rPr>
          <w:rFonts w:hint="eastAsia"/>
          <w:spacing w:val="2"/>
          <w:sz w:val="24"/>
          <w:szCs w:val="24"/>
          <w:lang w:eastAsia="zh-CN"/>
        </w:rPr>
        <w:t>--负责监测装置的登帐、编号、标识、周检、维修、建档等管理；</w:t>
      </w:r>
    </w:p>
    <w:p>
      <w:pPr>
        <w:pStyle w:val="6"/>
        <w:spacing w:line="440" w:lineRule="exact"/>
        <w:ind w:firstLine="520"/>
        <w:rPr>
          <w:spacing w:val="2"/>
          <w:sz w:val="24"/>
          <w:szCs w:val="24"/>
          <w:lang w:eastAsia="zh-CN"/>
        </w:rPr>
      </w:pPr>
      <w:r>
        <w:rPr>
          <w:rFonts w:hint="eastAsia"/>
          <w:spacing w:val="2"/>
          <w:sz w:val="24"/>
          <w:szCs w:val="24"/>
          <w:lang w:eastAsia="zh-CN"/>
        </w:rPr>
        <w:t>--根据各监视测量仪器的重要度及特性编制操作规范。</w:t>
      </w:r>
    </w:p>
    <w:p>
      <w:pPr>
        <w:pStyle w:val="6"/>
        <w:spacing w:line="440" w:lineRule="exact"/>
        <w:ind w:firstLine="520"/>
        <w:rPr>
          <w:spacing w:val="2"/>
          <w:sz w:val="24"/>
          <w:szCs w:val="24"/>
          <w:lang w:eastAsia="zh-CN"/>
        </w:rPr>
      </w:pPr>
      <w:r>
        <w:rPr>
          <w:rFonts w:hint="eastAsia"/>
          <w:spacing w:val="2"/>
          <w:sz w:val="24"/>
          <w:szCs w:val="24"/>
          <w:lang w:eastAsia="zh-CN"/>
        </w:rPr>
        <w:t>2.1.3 行政人资部</w:t>
      </w:r>
    </w:p>
    <w:p>
      <w:pPr>
        <w:pStyle w:val="6"/>
        <w:spacing w:line="440" w:lineRule="exact"/>
        <w:ind w:firstLine="520"/>
        <w:rPr>
          <w:spacing w:val="2"/>
          <w:sz w:val="24"/>
          <w:szCs w:val="24"/>
          <w:lang w:eastAsia="zh-CN"/>
        </w:rPr>
      </w:pPr>
      <w:r>
        <w:rPr>
          <w:rFonts w:hint="eastAsia"/>
          <w:spacing w:val="2"/>
          <w:sz w:val="24"/>
          <w:szCs w:val="24"/>
          <w:lang w:eastAsia="zh-CN"/>
        </w:rPr>
        <w:t>--确保质量</w:t>
      </w:r>
      <w:bookmarkStart w:id="16" w:name="OLE_LINK13"/>
      <w:bookmarkStart w:id="17" w:name="OLE_LINK12"/>
      <w:r>
        <w:rPr>
          <w:rFonts w:hint="eastAsia"/>
          <w:spacing w:val="2"/>
          <w:sz w:val="24"/>
          <w:szCs w:val="24"/>
          <w:lang w:eastAsia="zh-CN"/>
        </w:rPr>
        <w:t>、环境和职业健康安全</w:t>
      </w:r>
      <w:bookmarkEnd w:id="16"/>
      <w:bookmarkEnd w:id="17"/>
      <w:r>
        <w:rPr>
          <w:rFonts w:hint="eastAsia"/>
          <w:spacing w:val="2"/>
          <w:sz w:val="24"/>
          <w:szCs w:val="24"/>
          <w:lang w:eastAsia="zh-CN"/>
        </w:rPr>
        <w:t>一体化管理体系所需的过程得到建立、实施和保持并持续改进；</w:t>
      </w:r>
    </w:p>
    <w:p>
      <w:pPr>
        <w:pStyle w:val="6"/>
        <w:spacing w:line="440" w:lineRule="exact"/>
        <w:ind w:firstLine="520"/>
        <w:rPr>
          <w:spacing w:val="2"/>
          <w:sz w:val="24"/>
          <w:szCs w:val="24"/>
          <w:lang w:eastAsia="zh-CN"/>
        </w:rPr>
      </w:pPr>
      <w:r>
        <w:rPr>
          <w:rFonts w:hint="eastAsia"/>
          <w:spacing w:val="2"/>
          <w:sz w:val="24"/>
          <w:szCs w:val="24"/>
          <w:lang w:eastAsia="zh-CN"/>
        </w:rPr>
        <w:t>--向最高管理者汇报质量、环境、职业健康安全管理体系的业绩和改进需求；</w:t>
      </w:r>
    </w:p>
    <w:p>
      <w:pPr>
        <w:pStyle w:val="6"/>
        <w:spacing w:line="440" w:lineRule="exact"/>
        <w:ind w:firstLine="520"/>
        <w:rPr>
          <w:spacing w:val="2"/>
          <w:sz w:val="24"/>
          <w:szCs w:val="24"/>
          <w:lang w:eastAsia="zh-CN"/>
        </w:rPr>
      </w:pPr>
      <w:r>
        <w:rPr>
          <w:rFonts w:hint="eastAsia"/>
          <w:spacing w:val="2"/>
          <w:sz w:val="24"/>
          <w:szCs w:val="24"/>
          <w:lang w:eastAsia="zh-CN"/>
        </w:rPr>
        <w:t>--确保员工在公司内提高满足顾客要求的意识，提高全员的环境意识和职业健康安全意识；</w:t>
      </w:r>
    </w:p>
    <w:p>
      <w:pPr>
        <w:pStyle w:val="6"/>
        <w:spacing w:line="440" w:lineRule="exact"/>
        <w:ind w:firstLine="520"/>
        <w:rPr>
          <w:spacing w:val="2"/>
          <w:sz w:val="24"/>
          <w:szCs w:val="24"/>
          <w:lang w:eastAsia="zh-CN"/>
        </w:rPr>
      </w:pPr>
      <w:r>
        <w:rPr>
          <w:rFonts w:hint="eastAsia"/>
          <w:spacing w:val="2"/>
          <w:sz w:val="24"/>
          <w:szCs w:val="24"/>
          <w:lang w:eastAsia="zh-CN"/>
        </w:rPr>
        <w:t>--负责质量、环境和职业健康安全一体化管理体系的有关事宜与外部有关各方进行联络等。</w:t>
      </w:r>
    </w:p>
    <w:p>
      <w:pPr>
        <w:pStyle w:val="6"/>
        <w:spacing w:line="440" w:lineRule="exact"/>
        <w:ind w:firstLine="520"/>
        <w:rPr>
          <w:spacing w:val="2"/>
          <w:sz w:val="24"/>
          <w:szCs w:val="24"/>
          <w:lang w:eastAsia="zh-CN"/>
        </w:rPr>
      </w:pPr>
      <w:r>
        <w:rPr>
          <w:rFonts w:hint="eastAsia"/>
          <w:spacing w:val="2"/>
          <w:sz w:val="24"/>
          <w:szCs w:val="24"/>
          <w:lang w:eastAsia="zh-CN"/>
        </w:rPr>
        <w:t>2.1.4 其他部门及人员</w:t>
      </w:r>
    </w:p>
    <w:p>
      <w:pPr>
        <w:pStyle w:val="6"/>
        <w:spacing w:line="440" w:lineRule="exact"/>
        <w:ind w:firstLine="520"/>
        <w:rPr>
          <w:spacing w:val="2"/>
          <w:sz w:val="24"/>
          <w:szCs w:val="24"/>
          <w:lang w:eastAsia="zh-CN"/>
        </w:rPr>
      </w:pPr>
      <w:r>
        <w:rPr>
          <w:rFonts w:hint="eastAsia"/>
          <w:spacing w:val="2"/>
          <w:sz w:val="24"/>
          <w:szCs w:val="24"/>
          <w:lang w:eastAsia="zh-CN"/>
        </w:rPr>
        <w:t xml:space="preserve">     根据公司《管理手册》及相关文件规定，承担各部门及岗位的质量责任。</w:t>
      </w:r>
    </w:p>
    <w:p>
      <w:pPr>
        <w:pStyle w:val="6"/>
        <w:spacing w:before="120" w:beforeLines="50" w:after="120" w:afterLines="50" w:line="440" w:lineRule="exact"/>
        <w:ind w:left="0"/>
        <w:rPr>
          <w:rFonts w:cs="宋体"/>
          <w:b/>
          <w:bCs/>
          <w:sz w:val="24"/>
          <w:szCs w:val="24"/>
          <w:lang w:eastAsia="zh-CN"/>
        </w:rPr>
      </w:pPr>
      <w:r>
        <w:rPr>
          <w:rFonts w:cs="宋体"/>
          <w:b/>
          <w:bCs/>
          <w:sz w:val="24"/>
          <w:szCs w:val="24"/>
          <w:lang w:eastAsia="zh-CN"/>
        </w:rPr>
        <w:t xml:space="preserve">2.2 </w:t>
      </w:r>
      <w:r>
        <w:rPr>
          <w:rFonts w:hint="eastAsia" w:cs="宋体"/>
          <w:b/>
          <w:bCs/>
          <w:sz w:val="24"/>
          <w:szCs w:val="24"/>
          <w:lang w:eastAsia="zh-CN"/>
        </w:rPr>
        <w:t>质量管理体系</w:t>
      </w:r>
    </w:p>
    <w:p>
      <w:pPr>
        <w:pStyle w:val="6"/>
        <w:spacing w:line="360" w:lineRule="auto"/>
        <w:ind w:firstLine="240" w:firstLineChars="100"/>
        <w:rPr>
          <w:rFonts w:cs="宋体"/>
          <w:color w:val="000000" w:themeColor="text1"/>
          <w:sz w:val="24"/>
          <w:szCs w:val="24"/>
          <w:lang w:eastAsia="zh-CN"/>
        </w:rPr>
      </w:pPr>
      <w:r>
        <w:rPr>
          <w:rFonts w:cs="宋体"/>
          <w:color w:val="000000" w:themeColor="text1"/>
          <w:sz w:val="24"/>
          <w:szCs w:val="24"/>
          <w:lang w:eastAsia="zh-CN"/>
        </w:rPr>
        <w:t>1</w:t>
      </w:r>
      <w:r>
        <w:rPr>
          <w:rFonts w:hint="eastAsia" w:cs="宋体"/>
          <w:color w:val="000000" w:themeColor="text1"/>
          <w:sz w:val="24"/>
          <w:szCs w:val="24"/>
          <w:lang w:eastAsia="zh-CN"/>
        </w:rPr>
        <w:t>、公司以</w:t>
      </w:r>
      <w:r>
        <w:rPr>
          <w:rFonts w:cs="宋体"/>
          <w:color w:val="000000" w:themeColor="text1"/>
          <w:sz w:val="24"/>
          <w:szCs w:val="24"/>
          <w:lang w:eastAsia="zh-CN"/>
        </w:rPr>
        <w:t>ISO 9001</w:t>
      </w:r>
      <w:r>
        <w:rPr>
          <w:rFonts w:hint="eastAsia" w:cs="宋体"/>
          <w:color w:val="000000" w:themeColor="text1"/>
          <w:sz w:val="24"/>
          <w:szCs w:val="24"/>
          <w:lang w:eastAsia="zh-CN"/>
        </w:rPr>
        <w:t>质量管理体系标准要求为基础，结合卓越绩效模式和客户的相关要求，形成了完整的质量管理标准体系。并通过内审、外审和管理评审，推进质量管理体系的不断完善，持续改进其有效性。为此应做到下列要求：</w:t>
      </w:r>
    </w:p>
    <w:p>
      <w:pPr>
        <w:spacing w:line="360" w:lineRule="auto"/>
        <w:ind w:right="220" w:rightChars="100" w:firstLine="480" w:firstLineChars="200"/>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a)</w:t>
      </w:r>
      <w:r>
        <w:rPr>
          <w:rFonts w:hint="eastAsia" w:asciiTheme="minorEastAsia" w:hAnsiTheme="minorEastAsia" w:eastAsiaTheme="minorEastAsia"/>
          <w:color w:val="000000" w:themeColor="text1"/>
          <w:sz w:val="24"/>
          <w:szCs w:val="24"/>
          <w:lang w:eastAsia="zh-CN"/>
        </w:rPr>
        <w:t>确定质量管理体系所需要的过程及其在整个组织中的应用，并根据这些过程对产品品质的影响大小及复杂程度进行相应的控制；</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本公司确保对任何影响产品符合要求的外加工过程加以识别，并实施控制。</w:t>
      </w:r>
    </w:p>
    <w:p>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pPr>
        <w:spacing w:line="360" w:lineRule="auto"/>
        <w:ind w:firstLine="48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质量目标包括满足产品要求所需的内容，并且落实顾客期望；目前公司质量目标项目为：</w:t>
      </w:r>
    </w:p>
    <w:p>
      <w:pPr>
        <w:spacing w:line="500" w:lineRule="exact"/>
        <w:rPr>
          <w:rFonts w:hint="eastAsia" w:ascii="宋体" w:hAnsi="宋体" w:cs="宋体"/>
          <w:sz w:val="21"/>
          <w:szCs w:val="21"/>
          <w:lang w:val="en-US" w:eastAsia="zh-CN"/>
        </w:rPr>
      </w:pPr>
      <w:r>
        <w:rPr>
          <w:rFonts w:hint="eastAsia" w:ascii="宋体" w:hAnsi="宋体" w:cs="宋体"/>
          <w:sz w:val="21"/>
          <w:szCs w:val="21"/>
          <w:lang w:val="en-US" w:eastAsia="zh-CN"/>
        </w:rPr>
        <w:t>1、产品一次交验合格率≥95%</w:t>
      </w:r>
    </w:p>
    <w:p>
      <w:pPr>
        <w:spacing w:line="500" w:lineRule="exact"/>
        <w:rPr>
          <w:rFonts w:hint="default" w:ascii="宋体" w:hAnsi="宋体" w:cs="宋体"/>
          <w:sz w:val="21"/>
          <w:szCs w:val="21"/>
          <w:lang w:val="en-US" w:eastAsia="zh-CN"/>
        </w:rPr>
      </w:pPr>
      <w:r>
        <w:rPr>
          <w:rFonts w:hint="eastAsia" w:ascii="宋体" w:hAnsi="宋体" w:cs="宋体"/>
          <w:sz w:val="21"/>
          <w:szCs w:val="21"/>
          <w:lang w:val="en-US" w:eastAsia="zh-CN"/>
        </w:rPr>
        <w:t>2、顾客满意率≥90分</w:t>
      </w:r>
    </w:p>
    <w:p>
      <w:pPr>
        <w:spacing w:before="240" w:beforeLines="100"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 xml:space="preserve">    以上项目在每年年度计划时定出实际目标值。 </w:t>
      </w:r>
    </w:p>
    <w:p>
      <w:pPr>
        <w:numPr>
          <w:ilvl w:val="0"/>
          <w:numId w:val="5"/>
        </w:numPr>
        <w:spacing w:line="360" w:lineRule="auto"/>
        <w:ind w:firstLine="480" w:firstLineChars="200"/>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bCs/>
          <w:color w:val="000000"/>
          <w:sz w:val="24"/>
          <w:szCs w:val="24"/>
          <w:lang w:eastAsia="zh-CN"/>
        </w:rPr>
        <w:t>公司运行了ISO9001</w:t>
      </w:r>
      <w:r>
        <w:rPr>
          <w:rFonts w:hint="eastAsia" w:asciiTheme="minorEastAsia" w:hAnsiTheme="minorEastAsia" w:eastAsiaTheme="minorEastAsia"/>
          <w:color w:val="000000"/>
          <w:spacing w:val="2"/>
          <w:sz w:val="24"/>
          <w:szCs w:val="24"/>
          <w:lang w:eastAsia="zh-CN"/>
        </w:rPr>
        <w:t>：2015质量管理休系、</w:t>
      </w:r>
      <w:r>
        <w:rPr>
          <w:rFonts w:asciiTheme="minorEastAsia" w:hAnsiTheme="minorEastAsia" w:eastAsiaTheme="minorEastAsia"/>
          <w:color w:val="000000"/>
          <w:spacing w:val="2"/>
          <w:sz w:val="24"/>
          <w:szCs w:val="24"/>
          <w:lang w:eastAsia="zh-CN"/>
        </w:rPr>
        <w:t>ISO14001:20</w:t>
      </w:r>
      <w:r>
        <w:rPr>
          <w:rFonts w:hint="eastAsia" w:asciiTheme="minorEastAsia" w:hAnsiTheme="minorEastAsia" w:eastAsiaTheme="minorEastAsia"/>
          <w:color w:val="000000"/>
          <w:spacing w:val="2"/>
          <w:sz w:val="24"/>
          <w:szCs w:val="24"/>
          <w:lang w:eastAsia="zh-CN"/>
        </w:rPr>
        <w:t>15环境管理体系和ISO45001:2018职业健康和安全管理体系认证，并有效导入到各岗位，提升各部门的综合管理水平。</w:t>
      </w:r>
    </w:p>
    <w:p>
      <w:pPr>
        <w:pStyle w:val="6"/>
        <w:spacing w:before="120" w:beforeLines="50" w:after="120" w:afterLines="50" w:line="440" w:lineRule="exact"/>
        <w:ind w:left="0"/>
        <w:rPr>
          <w:rFonts w:cs="宋体"/>
          <w:b/>
          <w:bCs/>
          <w:sz w:val="24"/>
          <w:szCs w:val="24"/>
          <w:lang w:eastAsia="zh-CN"/>
        </w:rPr>
      </w:pPr>
      <w:r>
        <w:rPr>
          <w:rFonts w:hint="eastAsia" w:cs="宋体"/>
          <w:b/>
          <w:bCs/>
          <w:sz w:val="24"/>
          <w:szCs w:val="24"/>
          <w:lang w:eastAsia="zh-CN"/>
        </w:rPr>
        <w:t>2.3 质量安全风险管理与控制</w:t>
      </w:r>
    </w:p>
    <w:p>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安全与风险监控方面。根据相关质量法规要求，建立了《危险源辨识及控制程序》、《应急准备与响应控制程序》及产品检验规范等相关的管理制度，管理与控制产品质量关键特性。通过设立质量控制点对质量控制点的人员能力、设备、作业指导书、环境等策划，使得产品质量关键特性、重点特性存在的风险处于控制中。</w:t>
      </w:r>
    </w:p>
    <w:p>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实行产品线班组负责制，产品线班组对所管理的产品质量，从投入到产出、再到交付后使用全权负责，一站式服务。</w:t>
      </w:r>
    </w:p>
    <w:p>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型式试验方面，公司质量管理严格遵守国家法规和标准，实施并通过ISO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pPr>
        <w:spacing w:line="360" w:lineRule="auto"/>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应急管理方面，为预防突发事件的发生及发生突发性事件后的有序应对，公司成立了安委会和应急小组，制订了相应的应急预案，对火灾、断电和可能造成质量事故的事项有相应的应急预案，每年定期举行消防演练和各种灾害应急演练，确保突发事件发生后，各级部门都能有效应对处置。</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br w:type="page"/>
      </w:r>
    </w:p>
    <w:p>
      <w:pPr>
        <w:pStyle w:val="28"/>
        <w:spacing w:line="419" w:lineRule="exact"/>
        <w:ind w:right="-64"/>
        <w:jc w:val="center"/>
        <w:rPr>
          <w:lang w:eastAsia="zh-CN"/>
        </w:rPr>
      </w:pPr>
      <w:bookmarkStart w:id="18" w:name="_Toc12830_WPSOffice_Level2"/>
      <w:bookmarkStart w:id="19" w:name="_Toc24912742"/>
      <w:r>
        <w:rPr>
          <w:rFonts w:hint="eastAsia"/>
          <w:spacing w:val="2"/>
          <w:lang w:eastAsia="zh-CN"/>
        </w:rPr>
        <w:t>第三</w:t>
      </w:r>
      <w:r>
        <w:rPr>
          <w:rFonts w:hint="eastAsia"/>
          <w:lang w:eastAsia="zh-CN"/>
        </w:rPr>
        <w:t xml:space="preserve">章 </w:t>
      </w:r>
      <w:r>
        <w:rPr>
          <w:rFonts w:hint="eastAsia"/>
          <w:spacing w:val="2"/>
          <w:lang w:eastAsia="zh-CN"/>
        </w:rPr>
        <w:t>质量诚信管理</w:t>
      </w:r>
      <w:bookmarkEnd w:id="18"/>
      <w:bookmarkEnd w:id="19"/>
    </w:p>
    <w:p>
      <w:pPr>
        <w:spacing w:before="17" w:line="220" w:lineRule="exact"/>
        <w:rPr>
          <w:lang w:eastAsia="zh-CN"/>
        </w:rPr>
      </w:pPr>
    </w:p>
    <w:p>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pPr>
        <w:widowControl/>
        <w:spacing w:line="360" w:lineRule="auto"/>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3.1、产品全生命周期质量诚信管理</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pPr>
        <w:widowControl/>
        <w:spacing w:line="360" w:lineRule="auto"/>
        <w:ind w:firstLine="480"/>
        <w:rPr>
          <w:rFonts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eastAsia="zh-CN"/>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cs="宋体" w:asciiTheme="minorEastAsia" w:hAnsiTheme="minorEastAsia"/>
          <w:color w:val="000000" w:themeColor="text1"/>
          <w:sz w:val="24"/>
          <w:szCs w:val="24"/>
          <w:lang w:eastAsia="zh-CN"/>
        </w:rPr>
        <w:t>控制等要求予以设计控制。</w:t>
      </w:r>
    </w:p>
    <w:p>
      <w:pPr>
        <w:widowControl/>
        <w:spacing w:line="360" w:lineRule="auto"/>
        <w:ind w:firstLine="480"/>
        <w:rPr>
          <w:rFonts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eastAsia="zh-CN"/>
        </w:rPr>
        <w:t>在科技成果方面，公司目前已获得了</w:t>
      </w:r>
      <w:r>
        <w:rPr>
          <w:rFonts w:hint="eastAsia" w:cs="宋体" w:asciiTheme="minorEastAsia" w:hAnsiTheme="minorEastAsia"/>
          <w:color w:val="000000" w:themeColor="text1"/>
          <w:sz w:val="24"/>
          <w:szCs w:val="24"/>
          <w:lang w:val="en-US" w:eastAsia="zh-CN"/>
        </w:rPr>
        <w:t>16</w:t>
      </w:r>
      <w:r>
        <w:rPr>
          <w:rFonts w:hint="eastAsia" w:cs="宋体" w:asciiTheme="minorEastAsia" w:hAnsiTheme="minorEastAsia"/>
          <w:color w:val="000000" w:themeColor="text1"/>
          <w:sz w:val="24"/>
          <w:szCs w:val="24"/>
          <w:lang w:eastAsia="zh-CN"/>
        </w:rPr>
        <w:t>项</w:t>
      </w:r>
      <w:r>
        <w:rPr>
          <w:rFonts w:hint="eastAsia" w:cs="宋体" w:asciiTheme="minorEastAsia" w:hAnsiTheme="minorEastAsia"/>
          <w:color w:val="000000" w:themeColor="text1"/>
          <w:sz w:val="24"/>
          <w:szCs w:val="24"/>
          <w:lang w:val="en-US" w:eastAsia="zh-CN"/>
        </w:rPr>
        <w:t>实用新型</w:t>
      </w:r>
      <w:r>
        <w:rPr>
          <w:rFonts w:hint="eastAsia" w:cs="宋体" w:asciiTheme="minorEastAsia" w:hAnsiTheme="minorEastAsia"/>
          <w:color w:val="000000" w:themeColor="text1"/>
          <w:sz w:val="24"/>
          <w:szCs w:val="24"/>
          <w:lang w:eastAsia="zh-CN"/>
        </w:rPr>
        <w:t>专利</w:t>
      </w:r>
      <w:r>
        <w:rPr>
          <w:rFonts w:hint="eastAsia" w:cs="宋体" w:asciiTheme="minorEastAsia" w:hAnsiTheme="minorEastAsia"/>
          <w:color w:val="000000" w:themeColor="text1"/>
          <w:sz w:val="24"/>
          <w:szCs w:val="24"/>
          <w:lang w:val="en-US" w:eastAsia="zh-CN"/>
        </w:rPr>
        <w:t>,1项发明专利,9项外观专利</w:t>
      </w:r>
      <w:r>
        <w:rPr>
          <w:rFonts w:hint="eastAsia" w:cs="宋体" w:asciiTheme="minorEastAsia" w:hAnsiTheme="minorEastAsia"/>
          <w:color w:val="000000" w:themeColor="text1"/>
          <w:sz w:val="24"/>
          <w:szCs w:val="24"/>
          <w:lang w:eastAsia="zh-CN"/>
        </w:rPr>
        <w:t>.</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采购控制程序》、《纠正和预防措施控制程序》等相关程序文件，对采购相关工作进行制度规范。</w:t>
      </w:r>
    </w:p>
    <w:p>
      <w:pPr>
        <w:widowControl/>
        <w:spacing w:line="360" w:lineRule="auto"/>
        <w:ind w:firstLine="480"/>
        <w:rPr>
          <w:rFonts w:cs="宋体" w:asciiTheme="minorEastAsia" w:hAnsiTheme="minorEastAsia"/>
          <w:color w:val="000000" w:themeColor="text1"/>
          <w:sz w:val="24"/>
          <w:szCs w:val="24"/>
          <w:lang w:eastAsia="zh-CN"/>
        </w:rPr>
      </w:pPr>
      <w:r>
        <w:rPr>
          <w:rFonts w:hint="eastAsia" w:cs="宋体" w:asciiTheme="minorEastAsia" w:hAnsiTheme="minorEastAsia"/>
          <w:sz w:val="24"/>
          <w:szCs w:val="24"/>
          <w:lang w:eastAsia="zh-CN"/>
        </w:rPr>
        <w:t>实施供方绩效评价体系，按照供应商提供材料的重要性和质量要求将供应商进行分类管理。同时，根据供应商管理相关制度对供应商的交</w:t>
      </w:r>
      <w:r>
        <w:rPr>
          <w:rFonts w:hint="eastAsia" w:cs="宋体" w:asciiTheme="minorEastAsia" w:hAnsiTheme="minorEastAsia"/>
          <w:color w:val="000000" w:themeColor="text1"/>
          <w:sz w:val="24"/>
          <w:szCs w:val="24"/>
          <w:lang w:eastAsia="zh-CN"/>
        </w:rPr>
        <w:t>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pPr>
        <w:widowControl/>
        <w:spacing w:line="360" w:lineRule="auto"/>
        <w:ind w:firstLine="480"/>
        <w:rPr>
          <w:rFonts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eastAsia="zh-CN"/>
        </w:rPr>
        <w:t>3.1.3生产过程诚信管理</w:t>
      </w:r>
    </w:p>
    <w:p>
      <w:pPr>
        <w:widowControl/>
        <w:spacing w:line="360" w:lineRule="auto"/>
        <w:ind w:firstLine="480" w:firstLineChars="200"/>
        <w:rPr>
          <w:rFonts w:asciiTheme="minorEastAsia" w:hAnsiTheme="minorEastAsia"/>
          <w:b/>
          <w:sz w:val="24"/>
          <w:szCs w:val="24"/>
          <w:lang w:eastAsia="zh-CN"/>
        </w:rPr>
      </w:pPr>
      <w:r>
        <w:rPr>
          <w:rFonts w:asciiTheme="minorEastAsia" w:hAnsiTheme="minorEastAsia"/>
          <w:color w:val="000000" w:themeColor="text1"/>
          <w:sz w:val="24"/>
          <w:szCs w:val="24"/>
          <w:lang w:eastAsia="zh-CN"/>
        </w:rPr>
        <w:t>公司结合战略目标</w:t>
      </w:r>
      <w:r>
        <w:rPr>
          <w:rFonts w:hint="eastAsia" w:asciiTheme="minorEastAsia" w:hAnsiTheme="minorEastAsia"/>
          <w:color w:val="000000" w:themeColor="text1"/>
          <w:sz w:val="24"/>
          <w:szCs w:val="24"/>
          <w:lang w:eastAsia="zh-CN"/>
        </w:rPr>
        <w:t>进行</w:t>
      </w:r>
      <w:r>
        <w:rPr>
          <w:rFonts w:asciiTheme="minorEastAsia" w:hAnsiTheme="minorEastAsia"/>
          <w:color w:val="000000" w:themeColor="text1"/>
          <w:sz w:val="24"/>
          <w:szCs w:val="24"/>
          <w:lang w:eastAsia="zh-CN"/>
        </w:rPr>
        <w:t>过程设计，</w:t>
      </w:r>
      <w:r>
        <w:rPr>
          <w:rFonts w:hint="eastAsia" w:asciiTheme="minorEastAsia" w:hAnsiTheme="minorEastAsia"/>
          <w:color w:val="000000" w:themeColor="text1"/>
          <w:sz w:val="24"/>
          <w:szCs w:val="24"/>
          <w:lang w:eastAsia="zh-CN"/>
        </w:rPr>
        <w:t>通过导入卓越绩效管理、加强自动化投入和信息化建设，提升产线的系统效率与稳定性，</w:t>
      </w:r>
      <w:r>
        <w:rPr>
          <w:rFonts w:asciiTheme="minorEastAsia" w:hAnsiTheme="minorEastAsia"/>
          <w:color w:val="000000" w:themeColor="text1"/>
          <w:sz w:val="24"/>
          <w:szCs w:val="24"/>
          <w:lang w:eastAsia="zh-CN"/>
        </w:rPr>
        <w:t>并制</w:t>
      </w:r>
      <w:r>
        <w:rPr>
          <w:rFonts w:asciiTheme="minorEastAsia" w:hAnsiTheme="minorEastAsia"/>
          <w:sz w:val="24"/>
          <w:szCs w:val="24"/>
          <w:lang w:eastAsia="zh-CN"/>
        </w:rPr>
        <w:t>定了</w:t>
      </w:r>
      <w:r>
        <w:rPr>
          <w:rFonts w:hint="eastAsia" w:asciiTheme="minorEastAsia" w:hAnsiTheme="minorEastAsia"/>
          <w:sz w:val="24"/>
          <w:szCs w:val="24"/>
          <w:lang w:eastAsia="zh-CN"/>
        </w:rPr>
        <w:t>《</w:t>
      </w:r>
      <w:r>
        <w:rPr>
          <w:rFonts w:hint="eastAsia" w:asciiTheme="minorEastAsia" w:hAnsiTheme="minorEastAsia"/>
          <w:color w:val="000000" w:themeColor="text1"/>
          <w:sz w:val="24"/>
          <w:szCs w:val="24"/>
          <w:lang w:eastAsia="zh-CN"/>
        </w:rPr>
        <w:t>与顾客有关过程控制程序》、《生产和服务过程控制程序》以及《纠正和预防措施控制程序</w:t>
      </w:r>
      <w:r>
        <w:rPr>
          <w:rFonts w:hint="eastAsia" w:asciiTheme="minorEastAsia" w:hAnsiTheme="minorEastAsia"/>
          <w:sz w:val="24"/>
          <w:szCs w:val="24"/>
          <w:lang w:eastAsia="zh-CN"/>
        </w:rPr>
        <w:t>》</w:t>
      </w:r>
      <w:r>
        <w:rPr>
          <w:rFonts w:asciiTheme="minorEastAsia" w:hAnsiTheme="minorEastAsia"/>
          <w:sz w:val="24"/>
          <w:szCs w:val="24"/>
          <w:lang w:eastAsia="zh-CN"/>
        </w:rPr>
        <w:t>等程序文件</w:t>
      </w:r>
      <w:r>
        <w:rPr>
          <w:rFonts w:hint="eastAsia" w:asciiTheme="minorEastAsia" w:hAnsiTheme="minorEastAsia"/>
          <w:sz w:val="24"/>
          <w:szCs w:val="24"/>
          <w:lang w:eastAsia="zh-CN"/>
        </w:rPr>
        <w:t>进行系统管控，</w:t>
      </w:r>
      <w:r>
        <w:rPr>
          <w:rFonts w:asciiTheme="minorEastAsia" w:hAnsiTheme="minorEastAsia"/>
          <w:sz w:val="24"/>
          <w:szCs w:val="24"/>
          <w:lang w:eastAsia="zh-CN"/>
        </w:rPr>
        <w:t>规范生产过程</w:t>
      </w:r>
      <w:r>
        <w:rPr>
          <w:rFonts w:hint="eastAsia" w:asciiTheme="minorEastAsia" w:hAnsiTheme="minorEastAsia"/>
          <w:sz w:val="24"/>
          <w:szCs w:val="24"/>
          <w:lang w:eastAsia="zh-CN"/>
        </w:rPr>
        <w:t>，</w:t>
      </w:r>
      <w:r>
        <w:rPr>
          <w:rFonts w:asciiTheme="minorEastAsia" w:hAnsiTheme="minorEastAsia"/>
          <w:sz w:val="24"/>
          <w:szCs w:val="24"/>
          <w:lang w:eastAsia="zh-CN"/>
        </w:rPr>
        <w:t>对影响产品质量的相关</w:t>
      </w:r>
      <w:r>
        <w:rPr>
          <w:rFonts w:hint="eastAsia" w:asciiTheme="minorEastAsia" w:hAnsiTheme="minor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人员管理：人员上岗前均进行岗前培训，关键岗位人员通过考试取得操作证后才能上岗，人员换岗应经培训合格后经品质部确认。车间管理人员或者质量经理定期对员工进行质量改进等相关培训，</w:t>
      </w:r>
      <w:r>
        <w:rPr>
          <w:rFonts w:asciiTheme="minorEastAsia" w:hAnsiTheme="minorEastAsia"/>
          <w:color w:val="000000" w:themeColor="text1"/>
          <w:sz w:val="24"/>
          <w:szCs w:val="24"/>
          <w:lang w:eastAsia="zh-CN"/>
        </w:rPr>
        <w:t>提高操作员工的质量意识，要求车间工人严格按照规定进行生产操作。</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设备管理：每年制订设备的维护保养计划并按计划执行，每天对设备进行点检，涉及安全性能的设备每天按规定进行确认，确保设备的正常运行。</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材料管理：严格进行材料标识管理，通过系统管控、员工自查、巡检督查方式进行控制。品质部对不合格的物料进行锁定和标识、隔离，未经解绑，发不出锁定的物料。</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控制方法：遵循“不接收、不制造、不流转不合格品”的“三不”原则，由员工进行自检、互检。专职检验员严格执行首件检验、巡检及成品检验，切实保证终端产品质量。车间严格执行产前会议制度，产品上线前均组织生产、质量、工程等相关岗位人员明确产品要求及历史问题点，提前做好应对的准备和明确过程质量的控制重点，</w:t>
      </w:r>
      <w:r>
        <w:rPr>
          <w:rFonts w:asciiTheme="minorEastAsia" w:hAnsiTheme="minorEastAsia"/>
          <w:color w:val="000000" w:themeColor="text1"/>
          <w:sz w:val="24"/>
          <w:szCs w:val="24"/>
          <w:lang w:eastAsia="zh-CN"/>
        </w:rPr>
        <w:t>对于现场发现的可立即处理的质量问题，</w:t>
      </w:r>
      <w:r>
        <w:rPr>
          <w:rFonts w:hint="eastAsia" w:asciiTheme="minorEastAsia" w:hAnsiTheme="minorEastAsia"/>
          <w:color w:val="000000" w:themeColor="text1"/>
          <w:sz w:val="24"/>
          <w:szCs w:val="24"/>
          <w:lang w:eastAsia="zh-CN"/>
        </w:rPr>
        <w:t>车间主任或检验员</w:t>
      </w:r>
      <w:r>
        <w:rPr>
          <w:rFonts w:asciiTheme="minorEastAsia" w:hAnsiTheme="minorEastAsia"/>
          <w:color w:val="000000" w:themeColor="text1"/>
          <w:sz w:val="24"/>
          <w:szCs w:val="24"/>
          <w:lang w:eastAsia="zh-CN"/>
        </w:rPr>
        <w:t>及时组织</w:t>
      </w:r>
      <w:r>
        <w:rPr>
          <w:rFonts w:hint="eastAsia" w:asciiTheme="minorEastAsia" w:hAnsiTheme="minorEastAsia"/>
          <w:color w:val="000000" w:themeColor="text1"/>
          <w:sz w:val="24"/>
          <w:szCs w:val="24"/>
          <w:lang w:eastAsia="zh-CN"/>
        </w:rPr>
        <w:t>相关</w:t>
      </w:r>
      <w:r>
        <w:rPr>
          <w:rFonts w:asciiTheme="minorEastAsia" w:hAnsiTheme="minorEastAsia"/>
          <w:color w:val="000000" w:themeColor="text1"/>
          <w:sz w:val="24"/>
          <w:szCs w:val="24"/>
          <w:lang w:eastAsia="zh-CN"/>
        </w:rPr>
        <w:t>人员改进；对于由长期数据统计发现的质量问题，则通过召开</w:t>
      </w:r>
      <w:r>
        <w:rPr>
          <w:rFonts w:hint="eastAsia" w:asciiTheme="minorEastAsia" w:hAnsiTheme="minorEastAsia"/>
          <w:color w:val="000000" w:themeColor="text1"/>
          <w:sz w:val="24"/>
          <w:szCs w:val="24"/>
          <w:lang w:eastAsia="zh-CN"/>
        </w:rPr>
        <w:t>周</w:t>
      </w:r>
      <w:r>
        <w:rPr>
          <w:rFonts w:asciiTheme="minorEastAsia" w:hAnsiTheme="minorEastAsia"/>
          <w:color w:val="000000" w:themeColor="text1"/>
          <w:sz w:val="24"/>
          <w:szCs w:val="24"/>
          <w:lang w:eastAsia="zh-CN"/>
        </w:rPr>
        <w:t>质</w:t>
      </w:r>
      <w:r>
        <w:rPr>
          <w:rFonts w:hint="eastAsia" w:asciiTheme="minorEastAsia" w:hAnsiTheme="minorEastAsia"/>
          <w:color w:val="000000" w:themeColor="text1"/>
          <w:sz w:val="24"/>
          <w:szCs w:val="24"/>
          <w:lang w:eastAsia="zh-CN"/>
        </w:rPr>
        <w:t>量例</w:t>
      </w:r>
      <w:r>
        <w:rPr>
          <w:rFonts w:asciiTheme="minorEastAsia" w:hAnsiTheme="minorEastAsia"/>
          <w:color w:val="000000" w:themeColor="text1"/>
          <w:sz w:val="24"/>
          <w:szCs w:val="24"/>
          <w:lang w:eastAsia="zh-CN"/>
        </w:rPr>
        <w:t>会</w:t>
      </w:r>
      <w:r>
        <w:rPr>
          <w:rFonts w:hint="eastAsia" w:asciiTheme="minorEastAsia" w:hAnsiTheme="minorEastAsia"/>
          <w:color w:val="000000" w:themeColor="text1"/>
          <w:sz w:val="24"/>
          <w:szCs w:val="24"/>
          <w:lang w:eastAsia="zh-CN"/>
        </w:rPr>
        <w:t>或组织质量攻关小组</w:t>
      </w:r>
      <w:r>
        <w:rPr>
          <w:rFonts w:asciiTheme="minorEastAsia" w:hAnsiTheme="minorEastAsia"/>
          <w:color w:val="000000" w:themeColor="text1"/>
          <w:sz w:val="24"/>
          <w:szCs w:val="24"/>
          <w:lang w:eastAsia="zh-CN"/>
        </w:rPr>
        <w:t>进行</w:t>
      </w:r>
      <w:r>
        <w:rPr>
          <w:rFonts w:hint="eastAsia" w:asciiTheme="minorEastAsia" w:hAnsiTheme="minorEastAsia"/>
          <w:color w:val="000000" w:themeColor="text1"/>
          <w:sz w:val="24"/>
          <w:szCs w:val="24"/>
          <w:lang w:eastAsia="zh-CN"/>
        </w:rPr>
        <w:t>跟进直至完成闭环整改</w:t>
      </w:r>
      <w:r>
        <w:rPr>
          <w:rFonts w:asciiTheme="minorEastAsia" w:hAnsiTheme="minorEastAsia"/>
          <w:color w:val="000000" w:themeColor="text1"/>
          <w:sz w:val="24"/>
          <w:szCs w:val="24"/>
          <w:lang w:eastAsia="zh-CN"/>
        </w:rPr>
        <w:t>。</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asciiTheme="minorEastAsia" w:hAnsiTheme="minorEastAsia"/>
          <w:color w:val="000000" w:themeColor="text1"/>
          <w:sz w:val="24"/>
          <w:szCs w:val="24"/>
          <w:lang w:eastAsia="zh-CN"/>
        </w:rPr>
        <w:t>现场与安全管理</w:t>
      </w:r>
      <w:r>
        <w:rPr>
          <w:rFonts w:hint="eastAsia" w:asciiTheme="minorEastAsia" w:hAnsiTheme="minorEastAsia"/>
          <w:color w:val="000000" w:themeColor="text1"/>
          <w:sz w:val="24"/>
          <w:szCs w:val="24"/>
          <w:lang w:eastAsia="zh-CN"/>
        </w:rPr>
        <w:t>：公司</w:t>
      </w:r>
      <w:r>
        <w:rPr>
          <w:rFonts w:asciiTheme="minorEastAsia" w:hAnsiTheme="minorEastAsia"/>
          <w:color w:val="000000" w:themeColor="text1"/>
          <w:sz w:val="24"/>
          <w:szCs w:val="24"/>
          <w:lang w:eastAsia="zh-CN"/>
        </w:rPr>
        <w:t>建立</w:t>
      </w:r>
      <w:r>
        <w:rPr>
          <w:rFonts w:hint="eastAsia" w:asciiTheme="minorEastAsia" w:hAnsiTheme="minorEastAsia"/>
          <w:color w:val="000000" w:themeColor="text1"/>
          <w:sz w:val="24"/>
          <w:szCs w:val="24"/>
          <w:lang w:eastAsia="zh-CN"/>
        </w:rPr>
        <w:t>了</w:t>
      </w:r>
      <w:r>
        <w:rPr>
          <w:rFonts w:asciiTheme="minorEastAsia" w:hAnsiTheme="minorEastAsia"/>
          <w:color w:val="000000" w:themeColor="text1"/>
          <w:sz w:val="24"/>
          <w:szCs w:val="24"/>
          <w:lang w:eastAsia="zh-CN"/>
        </w:rPr>
        <w:t>现场管理指标，并严格按照</w:t>
      </w:r>
      <w:r>
        <w:rPr>
          <w:rFonts w:hint="eastAsia" w:asciiTheme="minorEastAsia" w:hAnsiTheme="minorEastAsia"/>
          <w:color w:val="000000" w:themeColor="text1"/>
          <w:sz w:val="24"/>
          <w:szCs w:val="24"/>
          <w:lang w:eastAsia="zh-CN"/>
        </w:rPr>
        <w:t>7S</w:t>
      </w:r>
      <w:r>
        <w:rPr>
          <w:rFonts w:asciiTheme="minorEastAsia" w:hAnsiTheme="minorEastAsia"/>
          <w:color w:val="000000" w:themeColor="text1"/>
          <w:sz w:val="24"/>
          <w:szCs w:val="24"/>
          <w:lang w:eastAsia="zh-CN"/>
        </w:rPr>
        <w:t>标准执行。</w:t>
      </w:r>
      <w:r>
        <w:rPr>
          <w:rFonts w:hint="eastAsia" w:asciiTheme="minorEastAsia" w:hAnsiTheme="minorEastAsia"/>
          <w:color w:val="000000" w:themeColor="text1"/>
          <w:sz w:val="24"/>
          <w:szCs w:val="24"/>
          <w:lang w:eastAsia="zh-CN"/>
        </w:rPr>
        <w:t>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测量设备管理：每年制订测量设备的周期检定计划并严格执行。对涉及安全性能检测的设备，利用检测设备（或好样\坏样)每天进行确认点检，确保测量设备的有效性。</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公司根据客户需求，展开售后服务责任。</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1）对产品质量及时进行跟踪，营销部门每年行一次客户满意调查。与业界伙伴开放合作，持续为客户和全社会创造价值。</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2）在与市场业务员电话沟通时，询问公司产品质量情况，并及时将情况反馈给品质部。</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3）品质部应定期拜访客户，其目的就是要了解客户对公司产品质量控制的评价，以便进一步改善我们的工作。</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4）每次拜访客户，都应写出书面报告并存档，并派出专业技术人员予以支持，并给出最佳的解决方案。</w:t>
      </w:r>
    </w:p>
    <w:p>
      <w:pPr>
        <w:spacing w:before="120" w:beforeLines="50" w:after="120" w:afterLines="50" w:line="360" w:lineRule="auto"/>
        <w:ind w:firstLine="480" w:firstLineChars="200"/>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公司建立并实施了相应的营销策略，本着诚实守信的原则，与客户建立长期良好的战略合作关系，客按照公正公平、互惠互利的原则实现了共同发展；在顾客需求的识别上，公司尽最大可能了解顾客需求，建立并实施了《与顾客有关过程控制程序》；重点确立顾客满意度指标并领先同行，增强了顾客对购买公司产品的信心。</w:t>
      </w:r>
    </w:p>
    <w:p>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3.2 质量文化建设</w:t>
      </w:r>
    </w:p>
    <w:p>
      <w:pPr>
        <w:pStyle w:val="6"/>
        <w:numPr>
          <w:ilvl w:val="2"/>
          <w:numId w:val="6"/>
        </w:numPr>
        <w:tabs>
          <w:tab w:val="left" w:pos="872"/>
        </w:tabs>
        <w:spacing w:line="360" w:lineRule="auto"/>
        <w:ind w:left="872"/>
      </w:pPr>
      <w:r>
        <w:rPr>
          <w:rFonts w:hint="eastAsia"/>
          <w:lang w:eastAsia="zh-CN"/>
        </w:rPr>
        <w:t>员工</w:t>
      </w:r>
      <w:r>
        <w:rPr>
          <w:rFonts w:hint="eastAsia"/>
        </w:rPr>
        <w:t>教育</w:t>
      </w:r>
    </w:p>
    <w:p>
      <w:pPr>
        <w:spacing w:line="360" w:lineRule="auto"/>
        <w:ind w:firstLine="480" w:firstLineChars="200"/>
        <w:rPr>
          <w:rFonts w:ascii="黑体" w:hAnsi="黑体" w:eastAsia="黑体"/>
          <w:b/>
          <w:bCs/>
          <w:sz w:val="21"/>
          <w:szCs w:val="21"/>
          <w:lang w:eastAsia="zh-CN"/>
        </w:rPr>
      </w:pPr>
      <w:r>
        <w:rPr>
          <w:rFonts w:hint="eastAsia" w:asciiTheme="minorEastAsia" w:hAnsiTheme="minor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w:t>
      </w:r>
      <w:r>
        <w:rPr>
          <w:rFonts w:hint="eastAsia" w:asciiTheme="minorEastAsia" w:hAnsiTheme="minorEastAsia"/>
          <w:color w:val="000000" w:themeColor="text1"/>
          <w:sz w:val="24"/>
          <w:szCs w:val="24"/>
          <w:lang w:eastAsia="zh-CN"/>
        </w:rPr>
        <w:t>建立并实施</w:t>
      </w:r>
      <w:r>
        <w:rPr>
          <w:rFonts w:hint="eastAsia" w:asciiTheme="minorEastAsia" w:hAnsiTheme="minorEastAsia"/>
          <w:sz w:val="24"/>
          <w:szCs w:val="24"/>
          <w:lang w:eastAsia="zh-CN"/>
        </w:rPr>
        <w:t>了《人力资源控制程序》。 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sz w:val="24"/>
          <w:szCs w:val="24"/>
          <w:lang w:eastAsia="zh-CN"/>
        </w:rPr>
        <w:t>业知识等培训内容。公司每年制定并下发了《年度培训计划》等，对质量诚信教育进行了安排布置。</w:t>
      </w:r>
    </w:p>
    <w:p>
      <w:pPr>
        <w:tabs>
          <w:tab w:val="left" w:pos="5400"/>
        </w:tabs>
        <w:spacing w:line="360" w:lineRule="auto"/>
        <w:jc w:val="center"/>
        <w:rPr>
          <w:rFonts w:ascii="黑体" w:hAnsi="黑体" w:eastAsia="黑体"/>
          <w:b/>
          <w:bCs/>
          <w:sz w:val="21"/>
          <w:szCs w:val="21"/>
        </w:rPr>
      </w:pPr>
      <w:r>
        <w:rPr>
          <w:rFonts w:hint="eastAsia" w:ascii="黑体" w:hAnsi="黑体" w:eastAsia="黑体"/>
          <w:b/>
          <w:bCs/>
          <w:sz w:val="21"/>
          <w:szCs w:val="21"/>
        </w:rPr>
        <w:t>表3.2-1 公司培训系统</w:t>
      </w: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268"/>
        <w:gridCol w:w="2003"/>
        <w:gridCol w:w="162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58" w:type="dxa"/>
            <w:tcBorders>
              <w:top w:val="double" w:color="auto" w:sz="4" w:space="0"/>
              <w:left w:val="double" w:color="auto" w:sz="4" w:space="0"/>
            </w:tcBorders>
            <w:shd w:val="clear" w:color="auto" w:fill="938953"/>
            <w:vAlign w:val="center"/>
          </w:tcPr>
          <w:p>
            <w:pPr>
              <w:pStyle w:val="54"/>
              <w:widowControl w:val="0"/>
              <w:rPr>
                <w:rFonts w:ascii="宋体" w:hAnsi="宋体" w:eastAsia="宋体"/>
                <w:b/>
                <w:color w:val="FFFFFF"/>
                <w:kern w:val="2"/>
              </w:rPr>
            </w:pPr>
            <w:r>
              <w:rPr>
                <w:rFonts w:hint="eastAsia" w:ascii=".Apple Color Emoji UI" w:hAnsi=".Apple Color Emoji UI" w:eastAsia="宋体" w:cs=".Apple Color Emoji UI"/>
                <w:b/>
                <w:color w:val="FFFFFF"/>
                <w:kern w:val="2"/>
              </w:rPr>
              <w:t>培训级别</w:t>
            </w:r>
          </w:p>
        </w:tc>
        <w:tc>
          <w:tcPr>
            <w:tcW w:w="2268" w:type="dxa"/>
            <w:tcBorders>
              <w:top w:val="double" w:color="auto" w:sz="4" w:space="0"/>
            </w:tcBorders>
            <w:shd w:val="clear" w:color="auto" w:fill="938953"/>
            <w:vAlign w:val="center"/>
          </w:tcPr>
          <w:p>
            <w:pPr>
              <w:pStyle w:val="54"/>
              <w:widowControl w:val="0"/>
              <w:rPr>
                <w:rFonts w:ascii="宋体" w:hAnsi="宋体" w:eastAsia="宋体"/>
                <w:b/>
                <w:color w:val="FFFFFF"/>
                <w:kern w:val="2"/>
              </w:rPr>
            </w:pPr>
            <w:r>
              <w:rPr>
                <w:rFonts w:hint="eastAsia" w:ascii="宋体" w:hAnsi="宋体" w:eastAsia="宋体"/>
                <w:b/>
                <w:color w:val="FFFFFF"/>
                <w:kern w:val="2"/>
              </w:rPr>
              <w:t>培训载体</w:t>
            </w:r>
          </w:p>
        </w:tc>
        <w:tc>
          <w:tcPr>
            <w:tcW w:w="2003" w:type="dxa"/>
            <w:tcBorders>
              <w:top w:val="double" w:color="auto" w:sz="4" w:space="0"/>
            </w:tcBorders>
            <w:shd w:val="clear" w:color="auto" w:fill="938953"/>
            <w:vAlign w:val="center"/>
          </w:tcPr>
          <w:p>
            <w:pPr>
              <w:pStyle w:val="54"/>
              <w:widowControl w:val="0"/>
              <w:rPr>
                <w:rFonts w:ascii="宋体" w:hAnsi="宋体" w:eastAsia="宋体"/>
                <w:b/>
                <w:color w:val="FFFFFF"/>
                <w:kern w:val="2"/>
              </w:rPr>
            </w:pPr>
            <w:r>
              <w:rPr>
                <w:rFonts w:hint="eastAsia" w:ascii="宋体" w:hAnsi="宋体" w:eastAsia="宋体"/>
                <w:b/>
                <w:color w:val="FFFFFF"/>
                <w:kern w:val="2"/>
              </w:rPr>
              <w:t>典型代表</w:t>
            </w:r>
          </w:p>
        </w:tc>
        <w:tc>
          <w:tcPr>
            <w:tcW w:w="1623" w:type="dxa"/>
            <w:tcBorders>
              <w:top w:val="double" w:color="auto" w:sz="4" w:space="0"/>
            </w:tcBorders>
            <w:shd w:val="clear" w:color="auto" w:fill="938953"/>
            <w:vAlign w:val="center"/>
          </w:tcPr>
          <w:p>
            <w:pPr>
              <w:pStyle w:val="54"/>
              <w:widowControl w:val="0"/>
              <w:rPr>
                <w:rFonts w:ascii="宋体" w:hAnsi="宋体" w:eastAsia="宋体"/>
                <w:b/>
                <w:color w:val="FFFFFF"/>
                <w:kern w:val="2"/>
              </w:rPr>
            </w:pPr>
            <w:r>
              <w:rPr>
                <w:rFonts w:hint="eastAsia" w:ascii="宋体" w:hAnsi="宋体" w:eastAsia="宋体"/>
                <w:b/>
                <w:color w:val="FFFFFF"/>
                <w:kern w:val="2"/>
              </w:rPr>
              <w:t>师资系统</w:t>
            </w:r>
          </w:p>
        </w:tc>
        <w:tc>
          <w:tcPr>
            <w:tcW w:w="1603" w:type="dxa"/>
            <w:tcBorders>
              <w:top w:val="double" w:color="auto" w:sz="4" w:space="0"/>
              <w:right w:val="double" w:color="auto" w:sz="4" w:space="0"/>
            </w:tcBorders>
            <w:shd w:val="clear" w:color="auto" w:fill="938953"/>
            <w:vAlign w:val="center"/>
          </w:tcPr>
          <w:p>
            <w:pPr>
              <w:pStyle w:val="54"/>
              <w:widowControl w:val="0"/>
              <w:rPr>
                <w:rFonts w:ascii="宋体" w:hAnsi="宋体" w:eastAsia="宋体"/>
                <w:b/>
                <w:color w:val="FFFFFF"/>
                <w:kern w:val="2"/>
              </w:rPr>
            </w:pPr>
            <w:r>
              <w:rPr>
                <w:rFonts w:hint="eastAsia" w:ascii="宋体" w:hAnsi="宋体" w:eastAsia="宋体"/>
                <w:b/>
                <w:color w:val="FFFFFF"/>
                <w:kern w:val="2"/>
              </w:rPr>
              <w:t>教材系统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58" w:type="dxa"/>
            <w:tcBorders>
              <w:left w:val="double" w:color="auto" w:sz="4" w:space="0"/>
            </w:tcBorders>
            <w:vAlign w:val="center"/>
          </w:tcPr>
          <w:p>
            <w:pPr>
              <w:pStyle w:val="54"/>
              <w:widowControl w:val="0"/>
              <w:rPr>
                <w:rFonts w:ascii="宋体" w:hAnsi="宋体" w:eastAsia="宋体"/>
                <w:kern w:val="2"/>
                <w:sz w:val="21"/>
                <w:szCs w:val="21"/>
              </w:rPr>
            </w:pPr>
            <w:r>
              <w:rPr>
                <w:rFonts w:hint="eastAsia" w:ascii="宋体" w:hAnsi="宋体" w:eastAsia="宋体"/>
                <w:kern w:val="2"/>
                <w:sz w:val="21"/>
                <w:szCs w:val="21"/>
              </w:rPr>
              <w:t>一级</w:t>
            </w:r>
          </w:p>
        </w:tc>
        <w:tc>
          <w:tcPr>
            <w:tcW w:w="2268" w:type="dxa"/>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rPr>
              <w:t>各类院校、社会培训机构、国内外企事业单位、教学站等</w:t>
            </w:r>
          </w:p>
        </w:tc>
        <w:tc>
          <w:tcPr>
            <w:tcW w:w="2003" w:type="dxa"/>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rPr>
              <w:t>行业协会、咨询机构等</w:t>
            </w:r>
          </w:p>
        </w:tc>
        <w:tc>
          <w:tcPr>
            <w:tcW w:w="1623" w:type="dxa"/>
            <w:vAlign w:val="center"/>
          </w:tcPr>
          <w:p>
            <w:pPr>
              <w:pStyle w:val="54"/>
              <w:widowControl w:val="0"/>
              <w:rPr>
                <w:rFonts w:ascii="宋体" w:hAnsi="宋体" w:eastAsia="宋体"/>
                <w:bCs/>
                <w:color w:val="auto"/>
                <w:kern w:val="2"/>
                <w:sz w:val="21"/>
                <w:szCs w:val="21"/>
              </w:rPr>
            </w:pPr>
            <w:r>
              <w:rPr>
                <w:rFonts w:hint="eastAsia" w:ascii="宋体" w:hAnsi="宋体" w:eastAsia="宋体"/>
                <w:bCs/>
                <w:color w:val="auto"/>
                <w:kern w:val="2"/>
                <w:sz w:val="21"/>
                <w:szCs w:val="21"/>
              </w:rPr>
              <w:t>外部讲师</w:t>
            </w:r>
          </w:p>
        </w:tc>
        <w:tc>
          <w:tcPr>
            <w:tcW w:w="1603" w:type="dxa"/>
            <w:tcBorders>
              <w:right w:val="double" w:color="auto" w:sz="4" w:space="0"/>
            </w:tcBorders>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rPr>
              <w:t>课件库、网络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58" w:type="dxa"/>
            <w:tcBorders>
              <w:left w:val="double" w:color="auto" w:sz="4" w:space="0"/>
            </w:tcBorders>
            <w:vAlign w:val="center"/>
          </w:tcPr>
          <w:p>
            <w:pPr>
              <w:pStyle w:val="54"/>
              <w:widowControl w:val="0"/>
              <w:rPr>
                <w:rFonts w:ascii="宋体" w:hAnsi="宋体" w:eastAsia="宋体"/>
                <w:kern w:val="2"/>
                <w:sz w:val="21"/>
                <w:szCs w:val="21"/>
              </w:rPr>
            </w:pPr>
            <w:r>
              <w:rPr>
                <w:rFonts w:hint="eastAsia" w:ascii="宋体" w:hAnsi="宋体" w:eastAsia="宋体"/>
                <w:kern w:val="2"/>
                <w:sz w:val="21"/>
                <w:szCs w:val="21"/>
              </w:rPr>
              <w:t>二级</w:t>
            </w:r>
          </w:p>
        </w:tc>
        <w:tc>
          <w:tcPr>
            <w:tcW w:w="2268" w:type="dxa"/>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rPr>
              <w:t>公司各职能部门</w:t>
            </w:r>
          </w:p>
        </w:tc>
        <w:tc>
          <w:tcPr>
            <w:tcW w:w="2003" w:type="dxa"/>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lang w:eastAsia="zh-CN"/>
              </w:rPr>
              <w:t>开发</w:t>
            </w:r>
            <w:r>
              <w:rPr>
                <w:rFonts w:hint="eastAsia" w:ascii="宋体" w:hAnsi="宋体" w:eastAsia="宋体"/>
                <w:bCs/>
                <w:color w:val="auto"/>
                <w:kern w:val="2"/>
                <w:sz w:val="21"/>
                <w:szCs w:val="21"/>
              </w:rPr>
              <w:t>、</w:t>
            </w:r>
            <w:r>
              <w:rPr>
                <w:rFonts w:hint="eastAsia" w:ascii="宋体" w:hAnsi="宋体" w:eastAsia="宋体"/>
                <w:bCs/>
                <w:color w:val="auto"/>
                <w:kern w:val="2"/>
                <w:sz w:val="21"/>
                <w:szCs w:val="21"/>
                <w:lang w:eastAsia="zh-CN"/>
              </w:rPr>
              <w:t>品质</w:t>
            </w:r>
            <w:r>
              <w:rPr>
                <w:rFonts w:hint="eastAsia" w:ascii="宋体" w:hAnsi="宋体" w:eastAsia="宋体"/>
                <w:bCs/>
                <w:color w:val="auto"/>
                <w:kern w:val="2"/>
                <w:sz w:val="21"/>
                <w:szCs w:val="21"/>
              </w:rPr>
              <w:t>等部门</w:t>
            </w:r>
          </w:p>
        </w:tc>
        <w:tc>
          <w:tcPr>
            <w:tcW w:w="1623" w:type="dxa"/>
            <w:vAlign w:val="center"/>
          </w:tcPr>
          <w:p>
            <w:pPr>
              <w:pStyle w:val="54"/>
              <w:widowControl w:val="0"/>
              <w:rPr>
                <w:rFonts w:ascii="宋体" w:hAnsi="宋体" w:eastAsia="宋体"/>
                <w:bCs/>
                <w:color w:val="auto"/>
                <w:kern w:val="2"/>
                <w:sz w:val="21"/>
                <w:szCs w:val="21"/>
              </w:rPr>
            </w:pPr>
            <w:r>
              <w:rPr>
                <w:rFonts w:hint="eastAsia" w:ascii="宋体" w:hAnsi="宋体" w:eastAsia="宋体"/>
                <w:bCs/>
                <w:color w:val="auto"/>
                <w:kern w:val="2"/>
                <w:sz w:val="21"/>
                <w:szCs w:val="21"/>
              </w:rPr>
              <w:t>公司讲师</w:t>
            </w:r>
          </w:p>
        </w:tc>
        <w:tc>
          <w:tcPr>
            <w:tcW w:w="1603" w:type="dxa"/>
            <w:tcBorders>
              <w:right w:val="double" w:color="auto" w:sz="4" w:space="0"/>
            </w:tcBorders>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rPr>
              <w:t>自编教材、各类出版教材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8" w:type="dxa"/>
            <w:tcBorders>
              <w:left w:val="double" w:color="auto" w:sz="4" w:space="0"/>
              <w:bottom w:val="double" w:color="auto" w:sz="4" w:space="0"/>
            </w:tcBorders>
            <w:vAlign w:val="center"/>
          </w:tcPr>
          <w:p>
            <w:pPr>
              <w:pStyle w:val="54"/>
              <w:widowControl w:val="0"/>
              <w:rPr>
                <w:rFonts w:ascii="宋体" w:hAnsi="宋体" w:eastAsia="宋体"/>
                <w:kern w:val="2"/>
                <w:sz w:val="21"/>
                <w:szCs w:val="21"/>
              </w:rPr>
            </w:pPr>
            <w:r>
              <w:rPr>
                <w:rFonts w:hint="eastAsia" w:ascii="宋体" w:hAnsi="宋体" w:eastAsia="宋体"/>
                <w:kern w:val="2"/>
                <w:sz w:val="21"/>
                <w:szCs w:val="21"/>
              </w:rPr>
              <w:t>三级</w:t>
            </w:r>
          </w:p>
        </w:tc>
        <w:tc>
          <w:tcPr>
            <w:tcW w:w="2268" w:type="dxa"/>
            <w:tcBorders>
              <w:bottom w:val="double" w:color="auto" w:sz="4" w:space="0"/>
            </w:tcBorders>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rPr>
              <w:t>各部门内部、班组</w:t>
            </w:r>
          </w:p>
        </w:tc>
        <w:tc>
          <w:tcPr>
            <w:tcW w:w="2003" w:type="dxa"/>
            <w:tcBorders>
              <w:bottom w:val="double" w:color="auto" w:sz="4" w:space="0"/>
            </w:tcBorders>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rPr>
              <w:t>各部门职能岗</w:t>
            </w:r>
          </w:p>
        </w:tc>
        <w:tc>
          <w:tcPr>
            <w:tcW w:w="1623" w:type="dxa"/>
            <w:tcBorders>
              <w:bottom w:val="double" w:color="auto" w:sz="4" w:space="0"/>
            </w:tcBorders>
            <w:vAlign w:val="center"/>
          </w:tcPr>
          <w:p>
            <w:pPr>
              <w:pStyle w:val="54"/>
              <w:widowControl w:val="0"/>
              <w:rPr>
                <w:rFonts w:ascii="宋体" w:hAnsi="宋体" w:eastAsia="宋体"/>
                <w:bCs/>
                <w:color w:val="auto"/>
                <w:kern w:val="2"/>
                <w:sz w:val="21"/>
                <w:szCs w:val="21"/>
              </w:rPr>
            </w:pPr>
            <w:r>
              <w:rPr>
                <w:rFonts w:hint="eastAsia" w:ascii="宋体" w:hAnsi="宋体" w:eastAsia="宋体"/>
                <w:bCs/>
                <w:color w:val="auto"/>
                <w:kern w:val="2"/>
                <w:sz w:val="21"/>
                <w:szCs w:val="21"/>
              </w:rPr>
              <w:t>公司讲师</w:t>
            </w:r>
          </w:p>
        </w:tc>
        <w:tc>
          <w:tcPr>
            <w:tcW w:w="1603" w:type="dxa"/>
            <w:tcBorders>
              <w:bottom w:val="double" w:color="auto" w:sz="4" w:space="0"/>
              <w:right w:val="double" w:color="auto" w:sz="4" w:space="0"/>
            </w:tcBorders>
            <w:vAlign w:val="center"/>
          </w:tcPr>
          <w:p>
            <w:pPr>
              <w:pStyle w:val="54"/>
              <w:widowControl w:val="0"/>
              <w:jc w:val="both"/>
              <w:rPr>
                <w:rFonts w:ascii="宋体" w:hAnsi="宋体" w:eastAsia="宋体"/>
                <w:bCs/>
                <w:color w:val="auto"/>
                <w:kern w:val="2"/>
                <w:sz w:val="21"/>
                <w:szCs w:val="21"/>
              </w:rPr>
            </w:pPr>
            <w:r>
              <w:rPr>
                <w:rFonts w:hint="eastAsia" w:ascii="宋体" w:hAnsi="宋体" w:eastAsia="宋体"/>
                <w:bCs/>
                <w:color w:val="auto"/>
                <w:kern w:val="2"/>
                <w:sz w:val="21"/>
                <w:szCs w:val="21"/>
              </w:rPr>
              <w:t>自编教材、文件、资料、各类出版教材</w:t>
            </w:r>
          </w:p>
        </w:tc>
      </w:tr>
    </w:tbl>
    <w:p>
      <w:pPr>
        <w:widowControl/>
        <w:spacing w:before="240" w:beforeLines="100" w:line="360" w:lineRule="auto"/>
        <w:ind w:firstLine="470" w:firstLineChars="196"/>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根据公司教育培训方案对全体员工进行了质量诚信和质量管理意识方面的教育培训，做到有计划，有安排，有检查，有考核，有总结，确保了培训效果和质量。</w:t>
      </w:r>
    </w:p>
    <w:p>
      <w:pPr>
        <w:pStyle w:val="6"/>
        <w:numPr>
          <w:ilvl w:val="2"/>
          <w:numId w:val="6"/>
        </w:numPr>
        <w:tabs>
          <w:tab w:val="left" w:pos="1134"/>
        </w:tabs>
        <w:spacing w:before="41" w:line="360" w:lineRule="auto"/>
        <w:ind w:left="872" w:hanging="446"/>
        <w:rPr>
          <w:sz w:val="24"/>
          <w:szCs w:val="24"/>
        </w:rPr>
      </w:pPr>
      <w:r>
        <w:rPr>
          <w:rFonts w:hint="eastAsia"/>
          <w:sz w:val="24"/>
          <w:szCs w:val="24"/>
        </w:rPr>
        <w:t>诚</w:t>
      </w:r>
      <w:r>
        <w:rPr>
          <w:rFonts w:hint="eastAsia"/>
          <w:spacing w:val="2"/>
          <w:sz w:val="24"/>
          <w:szCs w:val="24"/>
        </w:rPr>
        <w:t>信</w:t>
      </w:r>
      <w:r>
        <w:rPr>
          <w:rFonts w:hint="eastAsia"/>
          <w:sz w:val="24"/>
          <w:szCs w:val="24"/>
        </w:rPr>
        <w:t>自律</w:t>
      </w:r>
    </w:p>
    <w:p>
      <w:pPr>
        <w:pStyle w:val="6"/>
        <w:spacing w:line="360" w:lineRule="auto"/>
        <w:ind w:left="0" w:right="362" w:firstLine="266" w:firstLineChars="111"/>
        <w:rPr>
          <w:spacing w:val="2"/>
          <w:sz w:val="24"/>
          <w:szCs w:val="24"/>
          <w:lang w:eastAsia="zh-CN"/>
        </w:rPr>
      </w:pPr>
      <w:r>
        <w:rPr>
          <w:rFonts w:hint="eastAsia"/>
          <w:sz w:val="24"/>
          <w:szCs w:val="24"/>
          <w:lang w:eastAsia="zh-CN"/>
        </w:rPr>
        <w:t xml:space="preserve"> 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spacing w:val="2"/>
          <w:sz w:val="24"/>
          <w:szCs w:val="24"/>
          <w:lang w:eastAsia="zh-CN"/>
        </w:rPr>
        <w:t xml:space="preserve">过投资者互动平台、投资者热线、互动邮箱等多种方式与投资者进行沟通交流。 </w:t>
      </w:r>
    </w:p>
    <w:p>
      <w:pPr>
        <w:pStyle w:val="6"/>
        <w:numPr>
          <w:ilvl w:val="2"/>
          <w:numId w:val="6"/>
        </w:numPr>
        <w:tabs>
          <w:tab w:val="left" w:pos="993"/>
        </w:tabs>
        <w:spacing w:before="41" w:line="360" w:lineRule="auto"/>
        <w:ind w:left="872" w:hanging="446"/>
        <w:rPr>
          <w:sz w:val="24"/>
          <w:szCs w:val="24"/>
        </w:rPr>
      </w:pPr>
      <w:r>
        <w:rPr>
          <w:rFonts w:hint="eastAsia"/>
          <w:sz w:val="24"/>
          <w:szCs w:val="24"/>
        </w:rPr>
        <w:t>企业文化</w:t>
      </w:r>
    </w:p>
    <w:p>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hint="eastAsia" w:ascii="宋体" w:hAnsi="宋体"/>
          <w:spacing w:val="2"/>
          <w:sz w:val="24"/>
          <w:szCs w:val="24"/>
          <w:lang w:eastAsia="zh-CN"/>
        </w:rPr>
        <w:t>表3.2.3-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pPr>
        <w:pStyle w:val="45"/>
        <w:spacing w:before="120"/>
        <w:rPr>
          <w:rFonts w:ascii="黑体" w:hAnsi="黑体" w:eastAsia="黑体"/>
          <w:bCs/>
          <w:kern w:val="0"/>
          <w:szCs w:val="21"/>
        </w:rPr>
      </w:pPr>
      <w:bookmarkStart w:id="20" w:name="_Ref363217834"/>
      <w:r>
        <w:rPr>
          <w:rFonts w:hint="eastAsia" w:ascii="黑体" w:hAnsi="黑体" w:eastAsia="黑体"/>
          <w:bCs/>
          <w:kern w:val="0"/>
          <w:szCs w:val="21"/>
        </w:rPr>
        <w:t>表3.2.3-</w:t>
      </w:r>
      <w:r>
        <w:rPr>
          <w:rFonts w:hint="eastAsia" w:ascii="黑体" w:hAnsi="黑体" w:eastAsia="黑体"/>
          <w:bCs/>
          <w:kern w:val="0"/>
          <w:szCs w:val="21"/>
          <w:lang w:eastAsia="en-US"/>
        </w:rPr>
        <w:fldChar w:fldCharType="begin"/>
      </w:r>
      <w:r>
        <w:rPr>
          <w:rFonts w:hint="eastAsia" w:ascii="黑体" w:hAnsi="黑体" w:eastAsia="黑体"/>
          <w:bCs/>
          <w:kern w:val="0"/>
          <w:szCs w:val="21"/>
        </w:rPr>
        <w:instrText xml:space="preserve"> SEQ 表4.1- \* ARABIC </w:instrText>
      </w:r>
      <w:r>
        <w:rPr>
          <w:rFonts w:hint="eastAsia" w:ascii="黑体" w:hAnsi="黑体" w:eastAsia="黑体"/>
          <w:bCs/>
          <w:kern w:val="0"/>
          <w:szCs w:val="21"/>
          <w:lang w:eastAsia="en-US"/>
        </w:rPr>
        <w:fldChar w:fldCharType="separate"/>
      </w:r>
      <w:r>
        <w:rPr>
          <w:rFonts w:ascii="黑体" w:hAnsi="黑体" w:eastAsia="黑体"/>
          <w:bCs/>
          <w:kern w:val="0"/>
          <w:szCs w:val="21"/>
        </w:rPr>
        <w:t>1</w:t>
      </w:r>
      <w:r>
        <w:rPr>
          <w:rFonts w:hint="eastAsia" w:ascii="黑体" w:hAnsi="黑体" w:eastAsia="黑体"/>
          <w:bCs/>
          <w:kern w:val="0"/>
          <w:szCs w:val="21"/>
          <w:lang w:eastAsia="en-US"/>
        </w:rPr>
        <w:fldChar w:fldCharType="end"/>
      </w:r>
      <w:bookmarkEnd w:id="20"/>
      <w:r>
        <w:rPr>
          <w:rFonts w:hint="eastAsia" w:ascii="黑体" w:hAnsi="黑体" w:eastAsia="黑体"/>
          <w:bCs/>
          <w:kern w:val="0"/>
          <w:szCs w:val="21"/>
        </w:rPr>
        <w:t xml:space="preserve"> 企业文化的传播方式</w:t>
      </w:r>
    </w:p>
    <w:tbl>
      <w:tblPr>
        <w:tblStyle w:val="22"/>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475"/>
        <w:gridCol w:w="1823"/>
        <w:gridCol w:w="2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blHeader/>
          <w:jc w:val="center"/>
        </w:trPr>
        <w:tc>
          <w:tcPr>
            <w:tcW w:w="962" w:type="dxa"/>
            <w:gridSpan w:val="2"/>
            <w:tcBorders>
              <w:top w:val="single" w:color="000000" w:sz="4" w:space="0"/>
              <w:left w:val="single" w:color="000000" w:sz="4" w:space="0"/>
              <w:bottom w:val="double" w:color="auto" w:sz="4" w:space="0"/>
              <w:right w:val="single" w:color="000000" w:sz="4" w:space="0"/>
            </w:tcBorders>
            <w:shd w:val="clear" w:color="auto" w:fill="948A54" w:themeFill="background2" w:themeFillShade="80"/>
            <w:vAlign w:val="center"/>
          </w:tcPr>
          <w:p>
            <w:pPr>
              <w:pStyle w:val="54"/>
              <w:widowControl w:val="0"/>
              <w:rPr>
                <w:rFonts w:ascii=".Apple Color Emoji UI" w:hAnsi=".Apple Color Emoji UI" w:eastAsia="宋体" w:cs=".Apple Color Emoji UI"/>
                <w:b/>
                <w:color w:val="FFFFFF"/>
                <w:kern w:val="2"/>
              </w:rPr>
            </w:pPr>
            <w:r>
              <w:rPr>
                <w:rFonts w:hint="eastAsia" w:ascii=".Apple Color Emoji UI" w:hAnsi=".Apple Color Emoji UI" w:eastAsia="宋体" w:cs=".Apple Color Emoji UI"/>
                <w:b/>
                <w:color w:val="FFFFFF"/>
                <w:kern w:val="2"/>
              </w:rPr>
              <w:t>对象</w:t>
            </w:r>
          </w:p>
        </w:tc>
        <w:tc>
          <w:tcPr>
            <w:tcW w:w="1840" w:type="dxa"/>
            <w:tcBorders>
              <w:top w:val="single" w:color="000000" w:sz="4" w:space="0"/>
              <w:left w:val="single" w:color="000000" w:sz="4" w:space="0"/>
              <w:bottom w:val="double" w:color="auto" w:sz="4" w:space="0"/>
              <w:right w:val="single" w:color="000000" w:sz="4" w:space="0"/>
            </w:tcBorders>
            <w:shd w:val="clear" w:color="auto" w:fill="948A54" w:themeFill="background2" w:themeFillShade="80"/>
            <w:vAlign w:val="center"/>
          </w:tcPr>
          <w:p>
            <w:pPr>
              <w:pStyle w:val="54"/>
              <w:widowControl w:val="0"/>
              <w:rPr>
                <w:rFonts w:ascii=".Apple Color Emoji UI" w:hAnsi=".Apple Color Emoji UI" w:eastAsia="宋体" w:cs=".Apple Color Emoji UI"/>
                <w:b/>
                <w:color w:val="FFFFFF"/>
                <w:kern w:val="2"/>
              </w:rPr>
            </w:pPr>
            <w:r>
              <w:rPr>
                <w:rFonts w:hint="eastAsia" w:ascii=".Apple Color Emoji UI" w:hAnsi=".Apple Color Emoji UI" w:eastAsia="宋体" w:cs=".Apple Color Emoji UI"/>
                <w:b/>
                <w:color w:val="FFFFFF"/>
                <w:kern w:val="2"/>
              </w:rPr>
              <w:t>宣传渠道</w:t>
            </w:r>
          </w:p>
        </w:tc>
        <w:tc>
          <w:tcPr>
            <w:tcW w:w="2475" w:type="dxa"/>
            <w:tcBorders>
              <w:top w:val="single" w:color="000000" w:sz="4" w:space="0"/>
              <w:left w:val="single" w:color="000000" w:sz="4" w:space="0"/>
              <w:bottom w:val="double" w:color="auto" w:sz="4" w:space="0"/>
              <w:right w:val="single" w:color="000000" w:sz="4" w:space="0"/>
            </w:tcBorders>
            <w:shd w:val="clear" w:color="auto" w:fill="948A54" w:themeFill="background2" w:themeFillShade="80"/>
            <w:vAlign w:val="center"/>
          </w:tcPr>
          <w:p>
            <w:pPr>
              <w:pStyle w:val="54"/>
              <w:widowControl w:val="0"/>
              <w:rPr>
                <w:rFonts w:ascii=".Apple Color Emoji UI" w:hAnsi=".Apple Color Emoji UI" w:eastAsia="宋体" w:cs=".Apple Color Emoji UI"/>
                <w:b/>
                <w:color w:val="FFFFFF"/>
                <w:kern w:val="2"/>
              </w:rPr>
            </w:pPr>
            <w:r>
              <w:rPr>
                <w:rFonts w:hint="eastAsia" w:ascii=".Apple Color Emoji UI" w:hAnsi=".Apple Color Emoji UI" w:eastAsia="宋体" w:cs=".Apple Color Emoji UI"/>
                <w:b/>
                <w:color w:val="FFFFFF"/>
                <w:kern w:val="2"/>
              </w:rPr>
              <w:t>宣传内容</w:t>
            </w:r>
          </w:p>
        </w:tc>
        <w:tc>
          <w:tcPr>
            <w:tcW w:w="1823" w:type="dxa"/>
            <w:tcBorders>
              <w:top w:val="single" w:color="000000" w:sz="4" w:space="0"/>
              <w:left w:val="single" w:color="000000" w:sz="4" w:space="0"/>
              <w:bottom w:val="double" w:color="auto" w:sz="4" w:space="0"/>
              <w:right w:val="single" w:color="000000" w:sz="4" w:space="0"/>
            </w:tcBorders>
            <w:shd w:val="clear" w:color="auto" w:fill="948A54" w:themeFill="background2" w:themeFillShade="80"/>
            <w:vAlign w:val="center"/>
          </w:tcPr>
          <w:p>
            <w:pPr>
              <w:pStyle w:val="54"/>
              <w:widowControl w:val="0"/>
              <w:rPr>
                <w:rFonts w:ascii=".Apple Color Emoji UI" w:hAnsi=".Apple Color Emoji UI" w:eastAsia="宋体" w:cs=".Apple Color Emoji UI"/>
                <w:b/>
                <w:color w:val="FFFFFF"/>
                <w:kern w:val="2"/>
              </w:rPr>
            </w:pPr>
            <w:r>
              <w:rPr>
                <w:rFonts w:hint="eastAsia" w:ascii=".Apple Color Emoji UI" w:hAnsi=".Apple Color Emoji UI" w:eastAsia="宋体" w:cs=".Apple Color Emoji UI"/>
                <w:b/>
                <w:color w:val="FFFFFF"/>
                <w:kern w:val="2"/>
              </w:rPr>
              <w:t>效果</w:t>
            </w:r>
          </w:p>
        </w:tc>
        <w:tc>
          <w:tcPr>
            <w:tcW w:w="2146" w:type="dxa"/>
            <w:tcBorders>
              <w:top w:val="single" w:color="000000" w:sz="4" w:space="0"/>
              <w:left w:val="single" w:color="000000" w:sz="4" w:space="0"/>
              <w:bottom w:val="double" w:color="auto" w:sz="4" w:space="0"/>
              <w:right w:val="single" w:color="000000" w:sz="4" w:space="0"/>
            </w:tcBorders>
            <w:shd w:val="clear" w:color="auto" w:fill="948A54" w:themeFill="background2" w:themeFillShade="80"/>
            <w:vAlign w:val="center"/>
          </w:tcPr>
          <w:p>
            <w:pPr>
              <w:pStyle w:val="54"/>
              <w:widowControl w:val="0"/>
              <w:rPr>
                <w:rFonts w:ascii=".Apple Color Emoji UI" w:hAnsi=".Apple Color Emoji UI" w:eastAsia="宋体" w:cs=".Apple Color Emoji UI"/>
                <w:b/>
                <w:color w:val="FFFFFF"/>
                <w:kern w:val="2"/>
              </w:rPr>
            </w:pPr>
            <w:r>
              <w:rPr>
                <w:rFonts w:hint="eastAsia" w:ascii=".Apple Color Emoji UI" w:hAnsi=".Apple Color Emoji UI" w:eastAsia="宋体" w:cs=".Apple Color Emoji UI"/>
                <w:b/>
                <w:color w:val="FFFFFF"/>
                <w:kern w:val="2"/>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double" w:color="auto" w:sz="4" w:space="0"/>
              <w:left w:val="double" w:color="auto" w:sz="4" w:space="0"/>
              <w:bottom w:val="single" w:color="auto" w:sz="6" w:space="0"/>
              <w:right w:val="single" w:color="auto" w:sz="6" w:space="0"/>
            </w:tcBorders>
            <w:shd w:val="clear" w:color="auto" w:fill="auto"/>
            <w:vAlign w:val="center"/>
          </w:tcPr>
          <w:p>
            <w:pPr>
              <w:snapToGrid w:val="0"/>
              <w:jc w:val="center"/>
              <w:rPr>
                <w:rFonts w:ascii="微软雅黑" w:hAnsi="微软雅黑" w:eastAsia="微软雅黑"/>
              </w:rPr>
            </w:pPr>
            <w:r>
              <w:rPr>
                <w:rFonts w:hint="eastAsia" w:ascii="微软雅黑" w:hAnsi="微软雅黑" w:eastAsia="微软雅黑"/>
              </w:rPr>
              <w:t>内部</w:t>
            </w:r>
          </w:p>
        </w:tc>
        <w:tc>
          <w:tcPr>
            <w:tcW w:w="524" w:type="dxa"/>
            <w:tcBorders>
              <w:top w:val="doub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微软雅黑" w:hAnsi="微软雅黑" w:eastAsia="微软雅黑"/>
              </w:rPr>
            </w:pPr>
            <w:r>
              <w:rPr>
                <w:rFonts w:hint="eastAsia" w:ascii="微软雅黑" w:hAnsi="微软雅黑" w:eastAsia="微软雅黑"/>
              </w:rPr>
              <w:t>员工</w:t>
            </w:r>
          </w:p>
        </w:tc>
        <w:tc>
          <w:tcPr>
            <w:tcW w:w="1840" w:type="dxa"/>
            <w:tcBorders>
              <w:top w:val="double" w:color="auto" w:sz="4"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通讯平台、微信公众平台年会、培训、优秀文化案例等</w:t>
            </w:r>
          </w:p>
        </w:tc>
        <w:tc>
          <w:tcPr>
            <w:tcW w:w="2475" w:type="dxa"/>
            <w:tcBorders>
              <w:top w:val="double" w:color="auto" w:sz="4"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文化制度、活动展示、优秀文化案例、优秀员工事迹、高层讲文化与自身创业故事</w:t>
            </w:r>
          </w:p>
        </w:tc>
        <w:tc>
          <w:tcPr>
            <w:tcW w:w="1823" w:type="dxa"/>
            <w:tcBorders>
              <w:top w:val="double" w:color="auto" w:sz="4"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提高员工企业文化认知度、认同度、满意度</w:t>
            </w:r>
          </w:p>
        </w:tc>
        <w:tc>
          <w:tcPr>
            <w:tcW w:w="2146" w:type="dxa"/>
            <w:tcBorders>
              <w:top w:val="double" w:color="auto" w:sz="4" w:space="0"/>
              <w:left w:val="single" w:color="auto" w:sz="6" w:space="0"/>
              <w:bottom w:val="single" w:color="auto" w:sz="6" w:space="0"/>
              <w:right w:val="double" w:color="auto" w:sz="4" w:space="0"/>
            </w:tcBorders>
            <w:shd w:val="clear" w:color="auto" w:fill="auto"/>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auto" w:sz="6" w:space="0"/>
              <w:left w:val="double" w:color="auto" w:sz="4" w:space="0"/>
              <w:bottom w:val="single" w:color="auto" w:sz="6" w:space="0"/>
              <w:right w:val="single" w:color="auto" w:sz="6" w:space="0"/>
            </w:tcBorders>
            <w:shd w:val="clear" w:color="auto" w:fill="auto"/>
            <w:vAlign w:val="center"/>
          </w:tcPr>
          <w:p>
            <w:pPr>
              <w:snapToGrid w:val="0"/>
              <w:jc w:val="center"/>
              <w:rPr>
                <w:rFonts w:ascii="微软雅黑" w:hAnsi="微软雅黑" w:eastAsia="微软雅黑"/>
              </w:rPr>
            </w:pPr>
            <w:r>
              <w:rPr>
                <w:rFonts w:hint="eastAsia" w:ascii="微软雅黑" w:hAnsi="微软雅黑" w:eastAsia="微软雅黑"/>
              </w:rPr>
              <w:t>外部</w:t>
            </w:r>
          </w:p>
        </w:tc>
        <w:tc>
          <w:tcPr>
            <w:tcW w:w="524"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微软雅黑" w:hAnsi="微软雅黑" w:eastAsia="微软雅黑"/>
              </w:rPr>
            </w:pPr>
            <w:r>
              <w:rPr>
                <w:rFonts w:hint="eastAsia" w:ascii="微软雅黑" w:hAnsi="微软雅黑" w:eastAsia="微软雅黑"/>
              </w:rPr>
              <w:t>顾客</w:t>
            </w: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信息窗、文化墙、文化案例传播、员工培训等</w:t>
            </w:r>
          </w:p>
        </w:tc>
        <w:tc>
          <w:tcPr>
            <w:tcW w:w="247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文化动态、优秀文化案例、文化讲解、成果展示</w:t>
            </w:r>
          </w:p>
        </w:tc>
        <w:tc>
          <w:tcPr>
            <w:tcW w:w="1823"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提高客户公司文化认同度</w:t>
            </w:r>
          </w:p>
        </w:tc>
        <w:tc>
          <w:tcPr>
            <w:tcW w:w="2146" w:type="dxa"/>
            <w:tcBorders>
              <w:top w:val="single" w:color="auto" w:sz="6" w:space="0"/>
              <w:left w:val="single" w:color="auto" w:sz="6" w:space="0"/>
              <w:bottom w:val="single" w:color="auto" w:sz="6" w:space="0"/>
              <w:right w:val="double" w:color="auto" w:sz="4" w:space="0"/>
            </w:tcBorders>
            <w:shd w:val="clear" w:color="auto" w:fill="auto"/>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438" w:type="dxa"/>
            <w:vMerge w:val="continue"/>
            <w:tcBorders>
              <w:top w:val="single" w:color="auto" w:sz="6" w:space="0"/>
              <w:left w:val="double" w:color="auto" w:sz="4"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p>
        </w:tc>
        <w:tc>
          <w:tcPr>
            <w:tcW w:w="524"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微软雅黑" w:hAnsi="微软雅黑" w:eastAsia="微软雅黑"/>
              </w:rPr>
            </w:pPr>
            <w:r>
              <w:rPr>
                <w:rFonts w:hint="eastAsia" w:ascii="微软雅黑" w:hAnsi="微软雅黑" w:eastAsia="微软雅黑"/>
              </w:rPr>
              <w:t>供方</w:t>
            </w: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微信公众号、供应商会等</w:t>
            </w:r>
          </w:p>
        </w:tc>
        <w:tc>
          <w:tcPr>
            <w:tcW w:w="247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rPr>
            </w:pPr>
            <w:r>
              <w:rPr>
                <w:rFonts w:hint="eastAsia" w:ascii="微软雅黑" w:hAnsi="微软雅黑" w:eastAsia="微软雅黑"/>
              </w:rPr>
              <w:t>质量文化、效率文化</w:t>
            </w:r>
          </w:p>
        </w:tc>
        <w:tc>
          <w:tcPr>
            <w:tcW w:w="1823"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rPr>
            </w:pPr>
            <w:r>
              <w:rPr>
                <w:rFonts w:hint="eastAsia" w:ascii="微软雅黑" w:hAnsi="微软雅黑" w:eastAsia="微软雅黑"/>
              </w:rPr>
              <w:t>质量承诺书的签订</w:t>
            </w:r>
          </w:p>
        </w:tc>
        <w:tc>
          <w:tcPr>
            <w:tcW w:w="2146" w:type="dxa"/>
            <w:tcBorders>
              <w:top w:val="single" w:color="auto" w:sz="6" w:space="0"/>
              <w:left w:val="single" w:color="auto" w:sz="6" w:space="0"/>
              <w:bottom w:val="single" w:color="auto" w:sz="6" w:space="0"/>
              <w:right w:val="double" w:color="auto" w:sz="4" w:space="0"/>
            </w:tcBorders>
            <w:shd w:val="clear" w:color="auto" w:fill="auto"/>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auto" w:sz="6" w:space="0"/>
              <w:left w:val="double" w:color="auto" w:sz="4"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p>
        </w:tc>
        <w:tc>
          <w:tcPr>
            <w:tcW w:w="524"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微软雅黑" w:hAnsi="微软雅黑" w:eastAsia="微软雅黑"/>
              </w:rPr>
            </w:pPr>
            <w:r>
              <w:rPr>
                <w:rFonts w:hint="eastAsia" w:ascii="微软雅黑" w:hAnsi="微软雅黑" w:eastAsia="微软雅黑"/>
              </w:rPr>
              <w:t>股东</w:t>
            </w: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、微信公众号、股东会等</w:t>
            </w:r>
          </w:p>
        </w:tc>
        <w:tc>
          <w:tcPr>
            <w:tcW w:w="2475"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企业使命、企业愿景</w:t>
            </w:r>
          </w:p>
        </w:tc>
        <w:tc>
          <w:tcPr>
            <w:tcW w:w="1823"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投资交流活动、文化之旅</w:t>
            </w:r>
          </w:p>
        </w:tc>
        <w:tc>
          <w:tcPr>
            <w:tcW w:w="2146" w:type="dxa"/>
            <w:tcBorders>
              <w:top w:val="single" w:color="auto" w:sz="6" w:space="0"/>
              <w:left w:val="single" w:color="auto" w:sz="6" w:space="0"/>
              <w:bottom w:val="single" w:color="auto" w:sz="6" w:space="0"/>
              <w:right w:val="double" w:color="auto" w:sz="4" w:space="0"/>
            </w:tcBorders>
            <w:shd w:val="clear" w:color="auto" w:fill="auto"/>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auto" w:sz="6" w:space="0"/>
              <w:left w:val="double" w:color="auto" w:sz="4" w:space="0"/>
              <w:bottom w:val="double" w:color="auto" w:sz="4" w:space="0"/>
              <w:right w:val="single" w:color="auto" w:sz="6" w:space="0"/>
            </w:tcBorders>
            <w:shd w:val="clear" w:color="auto" w:fill="auto"/>
            <w:vAlign w:val="center"/>
          </w:tcPr>
          <w:p>
            <w:pPr>
              <w:snapToGrid w:val="0"/>
              <w:rPr>
                <w:rFonts w:ascii="微软雅黑" w:hAnsi="微软雅黑" w:eastAsia="微软雅黑"/>
                <w:lang w:eastAsia="zh-CN"/>
              </w:rPr>
            </w:pPr>
          </w:p>
        </w:tc>
        <w:tc>
          <w:tcPr>
            <w:tcW w:w="524" w:type="dxa"/>
            <w:tcBorders>
              <w:top w:val="single" w:color="auto" w:sz="6" w:space="0"/>
              <w:left w:val="single" w:color="auto" w:sz="6" w:space="0"/>
              <w:bottom w:val="double" w:color="auto" w:sz="4" w:space="0"/>
              <w:right w:val="single" w:color="auto" w:sz="6" w:space="0"/>
            </w:tcBorders>
            <w:shd w:val="clear" w:color="auto" w:fill="auto"/>
            <w:vAlign w:val="center"/>
          </w:tcPr>
          <w:p>
            <w:pPr>
              <w:snapToGrid w:val="0"/>
              <w:jc w:val="center"/>
              <w:rPr>
                <w:rFonts w:ascii="微软雅黑" w:hAnsi="微软雅黑" w:eastAsia="微软雅黑"/>
              </w:rPr>
            </w:pPr>
            <w:r>
              <w:rPr>
                <w:rFonts w:hint="eastAsia" w:ascii="微软雅黑" w:hAnsi="微软雅黑" w:eastAsia="微软雅黑"/>
              </w:rPr>
              <w:t>社会</w:t>
            </w:r>
          </w:p>
        </w:tc>
        <w:tc>
          <w:tcPr>
            <w:tcW w:w="1840" w:type="dxa"/>
            <w:tcBorders>
              <w:top w:val="single" w:color="auto" w:sz="6" w:space="0"/>
              <w:left w:val="single" w:color="auto" w:sz="6" w:space="0"/>
              <w:bottom w:val="double" w:color="auto" w:sz="4"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文化交流、企业文化交流等</w:t>
            </w:r>
          </w:p>
        </w:tc>
        <w:tc>
          <w:tcPr>
            <w:tcW w:w="2475" w:type="dxa"/>
            <w:tcBorders>
              <w:top w:val="single" w:color="auto" w:sz="6" w:space="0"/>
              <w:left w:val="single" w:color="auto" w:sz="6" w:space="0"/>
              <w:bottom w:val="double" w:color="auto" w:sz="4"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社会贡献、企业使命、企业愿景、党建文化</w:t>
            </w:r>
          </w:p>
        </w:tc>
        <w:tc>
          <w:tcPr>
            <w:tcW w:w="1823" w:type="dxa"/>
            <w:tcBorders>
              <w:top w:val="single" w:color="auto" w:sz="6" w:space="0"/>
              <w:left w:val="single" w:color="auto" w:sz="6" w:space="0"/>
              <w:bottom w:val="double" w:color="auto" w:sz="4" w:space="0"/>
              <w:right w:val="single" w:color="auto" w:sz="6" w:space="0"/>
            </w:tcBorders>
            <w:shd w:val="clear" w:color="auto" w:fill="auto"/>
            <w:vAlign w:val="center"/>
          </w:tcPr>
          <w:p>
            <w:pPr>
              <w:snapToGrid w:val="0"/>
              <w:rPr>
                <w:rFonts w:ascii="微软雅黑" w:hAnsi="微软雅黑" w:eastAsia="微软雅黑"/>
                <w:lang w:eastAsia="zh-CN"/>
              </w:rPr>
            </w:pPr>
            <w:r>
              <w:rPr>
                <w:rFonts w:hint="eastAsia" w:ascii="微软雅黑" w:hAnsi="微软雅黑" w:eastAsia="微软雅黑"/>
                <w:lang w:eastAsia="zh-CN"/>
              </w:rPr>
              <w:t>文化之旅、党建文化访问、企业文化访问</w:t>
            </w:r>
          </w:p>
        </w:tc>
        <w:tc>
          <w:tcPr>
            <w:tcW w:w="2146" w:type="dxa"/>
            <w:tcBorders>
              <w:top w:val="single" w:color="auto" w:sz="6" w:space="0"/>
              <w:left w:val="single" w:color="auto" w:sz="6" w:space="0"/>
              <w:bottom w:val="double" w:color="auto" w:sz="4" w:space="0"/>
              <w:right w:val="double" w:color="auto" w:sz="4" w:space="0"/>
            </w:tcBorders>
            <w:shd w:val="clear" w:color="auto" w:fill="auto"/>
            <w:vAlign w:val="center"/>
          </w:tcPr>
          <w:p>
            <w:pPr>
              <w:snapToGrid w:val="0"/>
              <w:jc w:val="center"/>
              <w:rPr>
                <w:rFonts w:ascii="微软雅黑" w:hAnsi="微软雅黑" w:eastAsia="微软雅黑"/>
                <w:lang w:eastAsia="zh-CN"/>
              </w:rPr>
            </w:pPr>
            <w:r>
              <w:rPr>
                <w:rFonts w:hint="eastAsia" w:ascii="微软雅黑" w:hAnsi="微软雅黑" w:eastAsia="微软雅黑"/>
                <w:lang w:eastAsia="zh-CN"/>
              </w:rPr>
              <w:t>提升社会知名度、交流接待数量</w:t>
            </w:r>
          </w:p>
        </w:tc>
      </w:tr>
    </w:tbl>
    <w:p>
      <w:pPr>
        <w:spacing w:before="240" w:beforeLines="100" w:line="360" w:lineRule="auto"/>
        <w:jc w:val="both"/>
        <w:rPr>
          <w:rFonts w:ascii="宋体" w:cs="Arial"/>
          <w:b/>
          <w:bCs/>
          <w:sz w:val="24"/>
          <w:szCs w:val="24"/>
          <w:lang w:eastAsia="zh-CN"/>
        </w:rPr>
      </w:pPr>
      <w:r>
        <w:rPr>
          <w:rFonts w:ascii="宋体" w:hAnsi="宋体"/>
          <w:b/>
          <w:bCs/>
          <w:sz w:val="24"/>
          <w:szCs w:val="24"/>
          <w:lang w:eastAsia="zh-CN"/>
        </w:rPr>
        <w:t>3.3</w:t>
      </w:r>
      <w:r>
        <w:rPr>
          <w:rFonts w:hint="eastAsia" w:ascii="宋体" w:hAnsi="宋体" w:cs="Arial"/>
          <w:b/>
          <w:bCs/>
          <w:sz w:val="24"/>
          <w:szCs w:val="24"/>
          <w:lang w:eastAsia="zh-CN"/>
        </w:rPr>
        <w:t>营造诚信守法环境</w:t>
      </w:r>
    </w:p>
    <w:p>
      <w:pPr>
        <w:spacing w:line="360" w:lineRule="auto"/>
        <w:ind w:firstLine="480" w:firstLineChars="200"/>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恪守商业道德，坚持诚信经营和公平竞争原则。公司从多年的经营实践中总结提炼的价值观就是“诚信、敬业、务实、创新”，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公司高管带头认真学习《公司法》、《合同法》、</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7</w:t>
      </w:r>
      <w:r>
        <w:rPr>
          <w:rFonts w:ascii="宋体" w:hAnsi="宋体"/>
          <w:sz w:val="24"/>
          <w:szCs w:val="24"/>
          <w:lang w:eastAsia="zh-CN"/>
        </w:rPr>
        <w:t>S</w:t>
      </w:r>
      <w:r>
        <w:rPr>
          <w:rFonts w:hint="eastAsia" w:ascii="宋体" w:hAnsi="宋体"/>
          <w:sz w:val="24"/>
          <w:szCs w:val="24"/>
          <w:lang w:eastAsia="zh-CN"/>
        </w:rPr>
        <w:t>”管理、安全操作培训等一系列活动，此外积极进行生产区域产线改造，不断改善员工的生活和工作环境。</w:t>
      </w:r>
    </w:p>
    <w:p>
      <w:pPr>
        <w:rPr>
          <w:rFonts w:ascii="宋体" w:hAnsi="宋体"/>
          <w:sz w:val="24"/>
          <w:szCs w:val="24"/>
          <w:lang w:eastAsia="zh-CN"/>
        </w:rPr>
      </w:pPr>
      <w:r>
        <w:rPr>
          <w:rFonts w:hint="eastAsia" w:ascii="宋体" w:hAnsi="宋体"/>
          <w:sz w:val="24"/>
          <w:szCs w:val="24"/>
          <w:lang w:eastAsia="zh-CN"/>
        </w:rPr>
        <w:br w:type="page"/>
      </w:r>
    </w:p>
    <w:p>
      <w:pPr>
        <w:pStyle w:val="6"/>
        <w:spacing w:before="360" w:beforeLines="150" w:line="360" w:lineRule="auto"/>
        <w:ind w:left="0"/>
        <w:jc w:val="center"/>
        <w:outlineLvl w:val="1"/>
        <w:rPr>
          <w:rFonts w:ascii="黑体" w:hAnsi="黑体" w:eastAsia="黑体"/>
          <w:sz w:val="15"/>
          <w:szCs w:val="15"/>
          <w:lang w:eastAsia="zh-CN"/>
        </w:rPr>
      </w:pPr>
      <w:bookmarkStart w:id="21" w:name="_Toc24912743"/>
      <w:bookmarkStart w:id="22" w:name="_Toc27713_WPSOffice_Level2"/>
    </w:p>
    <w:p>
      <w:pPr>
        <w:pStyle w:val="6"/>
        <w:spacing w:line="360" w:lineRule="auto"/>
        <w:ind w:left="0"/>
        <w:jc w:val="center"/>
        <w:outlineLvl w:val="1"/>
        <w:rPr>
          <w:rFonts w:ascii="黑体" w:hAnsi="黑体" w:eastAsia="黑体"/>
          <w:sz w:val="32"/>
          <w:szCs w:val="32"/>
          <w:lang w:eastAsia="zh-CN"/>
        </w:rPr>
      </w:pPr>
      <w:r>
        <w:rPr>
          <w:rFonts w:hint="eastAsia" w:ascii="黑体" w:hAnsi="黑体" w:eastAsia="黑体"/>
          <w:sz w:val="32"/>
          <w:szCs w:val="32"/>
          <w:lang w:eastAsia="zh-CN"/>
        </w:rPr>
        <w:t>第四章  质量管理基础</w:t>
      </w:r>
      <w:bookmarkEnd w:id="21"/>
      <w:bookmarkEnd w:id="22"/>
    </w:p>
    <w:p>
      <w:pPr>
        <w:pStyle w:val="6"/>
        <w:spacing w:line="360" w:lineRule="auto"/>
        <w:rPr>
          <w:rFonts w:ascii="Cambria" w:hAnsi="Cambria" w:cs="Cambria"/>
          <w:sz w:val="24"/>
          <w:szCs w:val="24"/>
          <w:lang w:eastAsia="zh-CN"/>
        </w:rPr>
      </w:pPr>
    </w:p>
    <w:p>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4.1 标准管理</w:t>
      </w:r>
    </w:p>
    <w:p>
      <w:pPr>
        <w:pStyle w:val="6"/>
        <w:spacing w:line="360" w:lineRule="auto"/>
        <w:ind w:right="362" w:firstLine="520"/>
        <w:jc w:val="both"/>
        <w:rPr>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pPr>
        <w:adjustRightInd w:val="0"/>
        <w:snapToGrid w:val="0"/>
        <w:spacing w:before="120" w:beforeLines="50" w:line="360" w:lineRule="auto"/>
        <w:ind w:left="220" w:leftChars="100" w:right="220" w:rightChars="100" w:firstLine="480" w:firstLineChars="200"/>
        <w:rPr>
          <w:rFonts w:ascii="宋体" w:hAnsi="宋体"/>
          <w:sz w:val="24"/>
          <w:szCs w:val="24"/>
          <w:lang w:eastAsia="zh-CN"/>
        </w:rPr>
      </w:pPr>
      <w:r>
        <w:rPr>
          <w:rFonts w:hint="eastAsia" w:ascii="宋体" w:hAnsi="宋体"/>
          <w:sz w:val="24"/>
          <w:szCs w:val="24"/>
          <w:lang w:eastAsia="zh-CN"/>
        </w:rPr>
        <w:t>公司质量管理体系文件结构</w:t>
      </w:r>
    </w:p>
    <w:p>
      <w:pPr>
        <w:adjustRightInd w:val="0"/>
        <w:snapToGrid w:val="0"/>
        <w:spacing w:before="120" w:beforeLines="50" w:line="360" w:lineRule="auto"/>
        <w:ind w:left="220" w:leftChars="100" w:right="220" w:rightChars="100" w:firstLine="480" w:firstLineChars="200"/>
        <w:jc w:val="center"/>
        <w:rPr>
          <w:rFonts w:ascii="宋体"/>
          <w:sz w:val="24"/>
          <w:szCs w:val="24"/>
          <w:lang w:eastAsia="zh-CN"/>
        </w:rPr>
      </w:pPr>
      <w:r>
        <w:rPr>
          <w:rFonts w:ascii="宋体"/>
          <w:sz w:val="24"/>
          <w:szCs w:val="24"/>
          <w:lang w:eastAsia="zh-CN"/>
        </w:rPr>
        <w:drawing>
          <wp:inline distT="0" distB="0" distL="0" distR="0">
            <wp:extent cx="2519680" cy="16376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2519680" cy="1637665"/>
                    </a:xfrm>
                    <a:prstGeom prst="rect">
                      <a:avLst/>
                    </a:prstGeom>
                    <a:noFill/>
                    <a:ln w="9525">
                      <a:noFill/>
                      <a:miter lim="800000"/>
                      <a:headEnd/>
                      <a:tailEnd/>
                    </a:ln>
                  </pic:spPr>
                </pic:pic>
              </a:graphicData>
            </a:graphic>
          </wp:inline>
        </w:drawing>
      </w:r>
    </w:p>
    <w:p>
      <w:pPr>
        <w:spacing w:before="120" w:beforeLines="50" w:line="360" w:lineRule="auto"/>
        <w:ind w:right="486" w:rightChars="221" w:firstLine="480" w:firstLineChars="200"/>
        <w:jc w:val="both"/>
        <w:rPr>
          <w:rFonts w:ascii="宋体" w:hAnsi="宋体" w:cs="宋体"/>
          <w:sz w:val="24"/>
          <w:lang w:eastAsia="zh-CN"/>
        </w:rPr>
      </w:pPr>
      <w:r>
        <w:rPr>
          <w:rFonts w:hint="eastAsia" w:cs="宋体" w:asciiTheme="minorEastAsia" w:hAnsiTheme="minorEastAsia"/>
          <w:sz w:val="24"/>
          <w:szCs w:val="24"/>
          <w:lang w:eastAsia="zh-CN"/>
        </w:rPr>
        <w:t>公司建立了以技术标准为主体，层次分明、机构合理、覆盖各专业的标准体系。</w:t>
      </w:r>
    </w:p>
    <w:p>
      <w:pPr>
        <w:pStyle w:val="6"/>
        <w:spacing w:before="240" w:beforeLines="100" w:after="120" w:afterLines="5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4.2 计量管理</w:t>
      </w:r>
    </w:p>
    <w:p>
      <w:pPr>
        <w:spacing w:line="360" w:lineRule="auto"/>
        <w:ind w:firstLine="480" w:firstLineChars="200"/>
        <w:rPr>
          <w:color w:val="000000" w:themeColor="text1"/>
          <w:sz w:val="24"/>
          <w:szCs w:val="26"/>
          <w:lang w:eastAsia="zh-CN"/>
        </w:rPr>
      </w:pPr>
      <w:r>
        <w:rPr>
          <w:rFonts w:hint="eastAsia"/>
          <w:color w:val="000000" w:themeColor="text1"/>
          <w:sz w:val="24"/>
          <w:szCs w:val="26"/>
          <w:lang w:eastAsia="zh-CN"/>
        </w:rPr>
        <w:t>公司严格执行《中华人民共和国计量法》等文件法规，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pPr>
        <w:spacing w:line="360" w:lineRule="auto"/>
        <w:ind w:firstLine="480" w:firstLineChars="200"/>
        <w:rPr>
          <w:color w:val="000000" w:themeColor="text1"/>
          <w:sz w:val="24"/>
          <w:szCs w:val="26"/>
          <w:lang w:eastAsia="zh-CN"/>
        </w:rPr>
      </w:pPr>
      <w:r>
        <w:rPr>
          <w:rFonts w:hint="eastAsia"/>
          <w:color w:val="000000" w:themeColor="text1"/>
          <w:sz w:val="24"/>
          <w:szCs w:val="26"/>
          <w:lang w:eastAsia="zh-CN"/>
        </w:rPr>
        <w:t>为确保产品质量，在生产工艺中严格过程控制，对操作工使用的检测工具、计量器具进行管理，按要求定时进行校准，确保计量设备计量的准确性。</w:t>
      </w:r>
    </w:p>
    <w:p>
      <w:pPr>
        <w:spacing w:line="360" w:lineRule="auto"/>
        <w:ind w:firstLine="480" w:firstLineChars="200"/>
        <w:rPr>
          <w:sz w:val="24"/>
          <w:szCs w:val="24"/>
          <w:lang w:eastAsia="zh-CN"/>
        </w:rPr>
      </w:pPr>
      <w:r>
        <w:rPr>
          <w:rFonts w:hint="eastAsia"/>
          <w:color w:val="000000" w:themeColor="text1"/>
          <w:sz w:val="24"/>
          <w:szCs w:val="26"/>
          <w:lang w:eastAsia="zh-CN"/>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pPr>
        <w:spacing w:before="240" w:beforeLines="100" w:line="360" w:lineRule="auto"/>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4.3 认证管理</w:t>
      </w:r>
    </w:p>
    <w:p>
      <w:pPr>
        <w:spacing w:line="360" w:lineRule="auto"/>
        <w:ind w:firstLine="480" w:firstLineChars="200"/>
        <w:rPr>
          <w:color w:val="000000" w:themeColor="text1"/>
          <w:sz w:val="24"/>
          <w:szCs w:val="26"/>
          <w:lang w:eastAsia="zh-CN"/>
        </w:rPr>
      </w:pPr>
      <w:r>
        <w:rPr>
          <w:rFonts w:hint="eastAsia"/>
          <w:color w:val="000000" w:themeColor="text1"/>
          <w:sz w:val="24"/>
          <w:szCs w:val="26"/>
          <w:lang w:eastAsia="zh-CN"/>
        </w:rPr>
        <w:t>为全面提升产品质量，确保各项生产经营活动规范及标准，公司先后通过ISO 9001管理体系认证。</w:t>
      </w:r>
    </w:p>
    <w:p>
      <w:pPr>
        <w:spacing w:line="360" w:lineRule="auto"/>
        <w:ind w:firstLine="480" w:firstLineChars="200"/>
        <w:rPr>
          <w:color w:val="000000" w:themeColor="text1"/>
          <w:sz w:val="24"/>
          <w:szCs w:val="26"/>
          <w:lang w:eastAsia="zh-CN"/>
        </w:rPr>
      </w:pPr>
      <w:r>
        <w:rPr>
          <w:rFonts w:hint="eastAsia"/>
          <w:color w:val="000000" w:themeColor="text1"/>
          <w:sz w:val="24"/>
          <w:szCs w:val="26"/>
          <w:lang w:eastAsia="zh-CN"/>
        </w:rPr>
        <w:t>公司坚持“人人品管、追求卓越、顾客满意、铸造品牌、预防污染、绿色排放；遵守法律、安全第一。”的QES方针，通过加强对生产全过程的污染控制，能源、资源的合理使用，不断降低能耗，节约成本，减少污染，以及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pPr>
        <w:pStyle w:val="6"/>
        <w:spacing w:before="240" w:beforeLines="100" w:line="360" w:lineRule="auto"/>
        <w:ind w:left="0" w:right="493"/>
        <w:rPr>
          <w:w w:val="99"/>
          <w:sz w:val="24"/>
          <w:lang w:eastAsia="zh-CN"/>
        </w:rPr>
      </w:pPr>
      <w:r>
        <w:rPr>
          <w:rFonts w:hint="eastAsia" w:asciiTheme="majorEastAsia" w:hAnsiTheme="majorEastAsia" w:eastAsiaTheme="majorEastAsia" w:cstheme="majorEastAsia"/>
          <w:b/>
          <w:bCs/>
          <w:sz w:val="24"/>
          <w:lang w:eastAsia="zh-CN"/>
        </w:rPr>
        <w:t>4.4 特种设备安全管理</w:t>
      </w:r>
    </w:p>
    <w:p>
      <w:pPr>
        <w:pStyle w:val="6"/>
        <w:spacing w:line="360" w:lineRule="auto"/>
        <w:ind w:left="0" w:right="47" w:firstLine="480" w:firstLineChars="200"/>
        <w:jc w:val="both"/>
        <w:rPr>
          <w:rFonts w:ascii="Calibri" w:hAnsi="Calibri"/>
          <w:color w:val="000000" w:themeColor="text1"/>
          <w:sz w:val="24"/>
          <w:lang w:eastAsia="zh-CN"/>
        </w:rPr>
      </w:pPr>
      <w:r>
        <w:rPr>
          <w:rFonts w:hint="eastAsia" w:ascii="Calibri" w:hAnsi="Calibri"/>
          <w:color w:val="000000" w:themeColor="text1"/>
          <w:sz w:val="24"/>
          <w:lang w:eastAsia="zh-CN"/>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pPr>
        <w:pStyle w:val="6"/>
        <w:spacing w:line="360" w:lineRule="auto"/>
        <w:ind w:left="0" w:firstLine="480" w:firstLineChars="200"/>
        <w:jc w:val="both"/>
        <w:rPr>
          <w:rFonts w:ascii="Calibri" w:hAnsi="Calibri"/>
          <w:color w:val="000000" w:themeColor="text1"/>
          <w:sz w:val="24"/>
          <w:lang w:eastAsia="zh-CN"/>
        </w:rPr>
      </w:pPr>
      <w:r>
        <w:rPr>
          <w:rFonts w:hint="eastAsia" w:ascii="Calibri" w:hAnsi="Calibri"/>
          <w:color w:val="000000" w:themeColor="text1"/>
          <w:sz w:val="24"/>
          <w:lang w:eastAsia="zh-CN"/>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pPr>
        <w:rPr>
          <w:spacing w:val="2"/>
          <w:sz w:val="13"/>
          <w:szCs w:val="13"/>
          <w:lang w:eastAsia="zh-CN"/>
        </w:rPr>
      </w:pPr>
      <w:bookmarkStart w:id="23" w:name="_Toc24912744"/>
      <w:bookmarkStart w:id="24" w:name="_Toc13528_WPSOffice_Level2"/>
      <w:r>
        <w:rPr>
          <w:rFonts w:hint="eastAsia"/>
          <w:spacing w:val="2"/>
          <w:lang w:eastAsia="zh-CN"/>
        </w:rPr>
        <w:br w:type="page"/>
      </w:r>
    </w:p>
    <w:p>
      <w:pPr>
        <w:pStyle w:val="28"/>
        <w:spacing w:line="419" w:lineRule="exact"/>
        <w:ind w:left="3129"/>
        <w:rPr>
          <w:lang w:eastAsia="zh-CN"/>
        </w:rPr>
      </w:pPr>
      <w:r>
        <w:rPr>
          <w:rFonts w:hint="eastAsia"/>
          <w:spacing w:val="2"/>
          <w:lang w:eastAsia="zh-CN"/>
        </w:rPr>
        <w:t>第五</w:t>
      </w:r>
      <w:r>
        <w:rPr>
          <w:rFonts w:hint="eastAsia"/>
          <w:lang w:eastAsia="zh-CN"/>
        </w:rPr>
        <w:t xml:space="preserve">章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23"/>
      <w:bookmarkEnd w:id="24"/>
    </w:p>
    <w:p>
      <w:pPr>
        <w:spacing w:before="17" w:line="220" w:lineRule="exact"/>
        <w:rPr>
          <w:color w:val="FF0000"/>
          <w:lang w:eastAsia="zh-CN"/>
        </w:rPr>
      </w:pPr>
    </w:p>
    <w:p>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5.1 产品质量水平</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本公司主要产品主要为旅行箱包，产品达到“浙江制造”认证标准的水平。</w:t>
      </w:r>
    </w:p>
    <w:p>
      <w:pPr>
        <w:spacing w:line="360" w:lineRule="auto"/>
        <w:ind w:firstLine="480" w:firstLineChars="200"/>
        <w:rPr>
          <w:sz w:val="24"/>
          <w:szCs w:val="24"/>
          <w:lang w:eastAsia="zh-CN"/>
        </w:rPr>
      </w:pPr>
      <w:r>
        <w:rPr>
          <w:rFonts w:hint="eastAsia"/>
          <w:color w:val="000000" w:themeColor="text1"/>
          <w:sz w:val="24"/>
          <w:szCs w:val="24"/>
          <w:lang w:eastAsia="zh-CN"/>
        </w:rPr>
        <w:t>产品的关键和重要特性必须经过100%工序检测合格才进行转序。产品一次交验的合格率达到9</w:t>
      </w:r>
      <w:r>
        <w:rPr>
          <w:rFonts w:hint="eastAsia"/>
          <w:color w:val="000000" w:themeColor="text1"/>
          <w:sz w:val="24"/>
          <w:szCs w:val="24"/>
          <w:lang w:val="en-US" w:eastAsia="zh-CN"/>
        </w:rPr>
        <w:t>9</w:t>
      </w:r>
      <w:r>
        <w:rPr>
          <w:rFonts w:hint="eastAsia"/>
          <w:color w:val="000000" w:themeColor="text1"/>
          <w:sz w:val="24"/>
          <w:szCs w:val="24"/>
          <w:lang w:eastAsia="zh-CN"/>
        </w:rPr>
        <w:t>%以上。</w:t>
      </w:r>
    </w:p>
    <w:p>
      <w:pPr>
        <w:spacing w:before="240" w:beforeLines="100" w:line="360" w:lineRule="auto"/>
        <w:ind w:firstLine="241" w:firstLineChars="100"/>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5.2 产品售后责任</w:t>
      </w:r>
    </w:p>
    <w:p>
      <w:pPr>
        <w:pStyle w:val="6"/>
        <w:spacing w:line="360" w:lineRule="auto"/>
        <w:ind w:left="0" w:firstLine="480"/>
        <w:rPr>
          <w:color w:val="000000" w:themeColor="text1"/>
          <w:sz w:val="24"/>
          <w:szCs w:val="24"/>
          <w:lang w:eastAsia="zh-CN"/>
        </w:rPr>
      </w:pPr>
      <w:r>
        <w:rPr>
          <w:rFonts w:hint="eastAsia"/>
          <w:color w:val="000000" w:themeColor="text1"/>
          <w:sz w:val="24"/>
          <w:szCs w:val="24"/>
          <w:lang w:eastAsia="zh-CN"/>
        </w:rPr>
        <w:t xml:space="preserve">  公司根据客户需求，展开售后服务责任。</w:t>
      </w:r>
    </w:p>
    <w:p>
      <w:pPr>
        <w:pStyle w:val="6"/>
        <w:spacing w:line="360" w:lineRule="auto"/>
        <w:ind w:left="0" w:firstLine="480"/>
        <w:rPr>
          <w:color w:val="000000" w:themeColor="text1"/>
          <w:sz w:val="24"/>
          <w:szCs w:val="24"/>
          <w:lang w:eastAsia="zh-CN"/>
        </w:rPr>
      </w:pPr>
      <w:r>
        <w:rPr>
          <w:rFonts w:hint="eastAsia"/>
          <w:color w:val="000000" w:themeColor="text1"/>
          <w:sz w:val="24"/>
          <w:szCs w:val="24"/>
          <w:lang w:eastAsia="zh-CN"/>
        </w:rPr>
        <w:t>1）对产品质量及时进行跟踪，营销部门每年行一次客户满意调查。与业界伙伴开放合作，持续为客户和全社会创造价值。</w:t>
      </w:r>
    </w:p>
    <w:p>
      <w:pPr>
        <w:pStyle w:val="6"/>
        <w:spacing w:line="360" w:lineRule="auto"/>
        <w:ind w:left="0" w:firstLine="480"/>
        <w:rPr>
          <w:color w:val="000000" w:themeColor="text1"/>
          <w:sz w:val="24"/>
          <w:szCs w:val="24"/>
          <w:lang w:eastAsia="zh-CN"/>
        </w:rPr>
      </w:pPr>
      <w:r>
        <w:rPr>
          <w:rFonts w:hint="eastAsia"/>
          <w:color w:val="000000" w:themeColor="text1"/>
          <w:sz w:val="24"/>
          <w:szCs w:val="24"/>
          <w:lang w:eastAsia="zh-CN"/>
        </w:rPr>
        <w:t>2）在与市场业务员电话沟通时，询问公司产品质量情况，并及时将情况反馈给品质部。</w:t>
      </w:r>
    </w:p>
    <w:p>
      <w:pPr>
        <w:pStyle w:val="6"/>
        <w:spacing w:line="360" w:lineRule="auto"/>
        <w:ind w:left="0" w:firstLine="480"/>
        <w:rPr>
          <w:color w:val="000000" w:themeColor="text1"/>
          <w:sz w:val="24"/>
          <w:szCs w:val="24"/>
          <w:lang w:eastAsia="zh-CN"/>
        </w:rPr>
      </w:pPr>
      <w:r>
        <w:rPr>
          <w:rFonts w:hint="eastAsia"/>
          <w:color w:val="000000" w:themeColor="text1"/>
          <w:sz w:val="24"/>
          <w:szCs w:val="24"/>
          <w:lang w:eastAsia="zh-CN"/>
        </w:rPr>
        <w:t>3）品质部门应定期拜访客户，其目的就是要了解客户对公司产品质量控制的评价，以便进一步改善我们的工作。</w:t>
      </w:r>
    </w:p>
    <w:p>
      <w:pPr>
        <w:pStyle w:val="6"/>
        <w:spacing w:line="360" w:lineRule="auto"/>
        <w:ind w:left="0" w:firstLine="480"/>
        <w:rPr>
          <w:color w:val="000000" w:themeColor="text1"/>
          <w:sz w:val="24"/>
          <w:szCs w:val="24"/>
          <w:lang w:eastAsia="zh-CN"/>
        </w:rPr>
      </w:pPr>
      <w:r>
        <w:rPr>
          <w:rFonts w:hint="eastAsia"/>
          <w:color w:val="000000" w:themeColor="text1"/>
          <w:sz w:val="24"/>
          <w:szCs w:val="24"/>
          <w:lang w:eastAsia="zh-CN"/>
        </w:rPr>
        <w:t>4）每次拜访客户，都应写出书面报告并存档，并派出专业技术人员予以支持，并给出最佳的解决方案。</w:t>
      </w:r>
    </w:p>
    <w:p>
      <w:pPr>
        <w:pStyle w:val="6"/>
        <w:spacing w:line="360" w:lineRule="auto"/>
        <w:ind w:left="0" w:firstLine="480"/>
        <w:rPr>
          <w:color w:val="000000" w:themeColor="text1"/>
          <w:sz w:val="24"/>
          <w:szCs w:val="24"/>
          <w:lang w:eastAsia="zh-CN"/>
        </w:rPr>
      </w:pPr>
      <w:r>
        <w:rPr>
          <w:rFonts w:hint="eastAsia"/>
          <w:color w:val="000000" w:themeColor="text1"/>
          <w:sz w:val="24"/>
          <w:szCs w:val="24"/>
          <w:lang w:eastAsia="zh-CN"/>
        </w:rPr>
        <w:t xml:space="preserve">  公司本着诚实守信的原则，</w:t>
      </w:r>
      <w:r>
        <w:rPr>
          <w:rFonts w:hint="eastAsia" w:asciiTheme="minorEastAsia" w:hAnsiTheme="minorEastAsia"/>
          <w:color w:val="000000" w:themeColor="text1"/>
          <w:sz w:val="24"/>
          <w:szCs w:val="24"/>
          <w:lang w:eastAsia="zh-CN"/>
        </w:rPr>
        <w:t>与客户建立长期良好的战略合作关系，客按照公正公平、互惠互利的原则实现了共同发展；在顾客需求的识别上，公司尽最大可能了解顾客需求，建立并实施了《与顾客有关过程控制程序》；重点确立顾客满意度指标并领先同行，增强了顾客对购买公司产品的信心。</w:t>
      </w:r>
    </w:p>
    <w:p>
      <w:pPr>
        <w:pStyle w:val="6"/>
        <w:spacing w:before="240" w:beforeLines="10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5.3企业社会责任</w:t>
      </w:r>
    </w:p>
    <w:p>
      <w:pPr>
        <w:pStyle w:val="6"/>
        <w:spacing w:line="360" w:lineRule="auto"/>
        <w:ind w:left="0" w:firstLine="480"/>
        <w:rPr>
          <w:color w:val="000000" w:themeColor="text1"/>
          <w:kern w:val="2"/>
          <w:sz w:val="24"/>
          <w:szCs w:val="24"/>
          <w:lang w:eastAsia="zh-CN"/>
        </w:rPr>
      </w:pPr>
      <w:r>
        <w:rPr>
          <w:rFonts w:hint="eastAsia"/>
          <w:color w:val="000000" w:themeColor="text1"/>
          <w:sz w:val="24"/>
          <w:szCs w:val="24"/>
          <w:lang w:eastAsia="zh-CN"/>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rPr>
        <w:t>《社会责任报告》。</w:t>
      </w:r>
    </w:p>
    <w:p>
      <w:pPr>
        <w:rPr>
          <w:rFonts w:ascii="黑体" w:hAnsi="黑体" w:eastAsia="黑体"/>
          <w:spacing w:val="2"/>
          <w:sz w:val="32"/>
          <w:szCs w:val="32"/>
          <w:lang w:eastAsia="zh-CN"/>
        </w:rPr>
      </w:pPr>
      <w:bookmarkStart w:id="25" w:name="_Toc22209_WPSOffice_Level2"/>
      <w:r>
        <w:rPr>
          <w:rFonts w:hint="eastAsia" w:ascii="黑体" w:hAnsi="黑体" w:eastAsia="黑体"/>
          <w:spacing w:val="2"/>
          <w:sz w:val="32"/>
          <w:szCs w:val="32"/>
          <w:lang w:eastAsia="zh-CN"/>
        </w:rPr>
        <w:br w:type="page"/>
      </w:r>
    </w:p>
    <w:p>
      <w:pPr>
        <w:pStyle w:val="6"/>
        <w:spacing w:line="360" w:lineRule="auto"/>
        <w:ind w:left="0" w:firstLine="480"/>
        <w:jc w:val="center"/>
        <w:rPr>
          <w:color w:val="FF0000"/>
          <w:kern w:val="2"/>
          <w:sz w:val="24"/>
          <w:szCs w:val="24"/>
          <w:lang w:eastAsia="zh-CN"/>
        </w:rPr>
      </w:pPr>
      <w:r>
        <w:rPr>
          <w:rFonts w:hint="eastAsia" w:ascii="黑体" w:hAnsi="黑体" w:eastAsia="黑体"/>
          <w:spacing w:val="2"/>
          <w:sz w:val="32"/>
          <w:szCs w:val="32"/>
          <w:lang w:eastAsia="zh-CN"/>
        </w:rPr>
        <w:t>第六章  产品质量承诺</w:t>
      </w:r>
      <w:bookmarkEnd w:id="25"/>
    </w:p>
    <w:p>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6.1 质量投诉处理</w:t>
      </w:r>
    </w:p>
    <w:p>
      <w:pPr>
        <w:spacing w:line="360" w:lineRule="auto"/>
        <w:ind w:firstLine="480" w:firstLineChars="200"/>
        <w:rPr>
          <w:rFonts w:ascii="宋体" w:hAnsi="宋体"/>
          <w:kern w:val="2"/>
          <w:sz w:val="24"/>
          <w:szCs w:val="24"/>
          <w:lang w:eastAsia="zh-CN"/>
        </w:rPr>
      </w:pPr>
      <w:r>
        <w:rPr>
          <w:rFonts w:hint="eastAsia" w:asciiTheme="minorEastAsia" w:hAnsiTheme="minorEastAsia"/>
          <w:sz w:val="24"/>
          <w:szCs w:val="24"/>
          <w:lang w:eastAsia="zh-CN"/>
        </w:rPr>
        <w:t>投诉的</w:t>
      </w:r>
      <w:r>
        <w:rPr>
          <w:rFonts w:hint="eastAsia" w:ascii="宋体" w:hAnsi="宋体"/>
          <w:kern w:val="2"/>
          <w:sz w:val="24"/>
          <w:szCs w:val="24"/>
          <w:lang w:eastAsia="zh-CN"/>
        </w:rPr>
        <w:t>处理流程：营销部负责收集客户信息，接收和处理客户的投诉，流程见</w:t>
      </w:r>
      <w:r>
        <w:fldChar w:fldCharType="begin"/>
      </w:r>
      <w:r>
        <w:rPr>
          <w:lang w:eastAsia="zh-CN"/>
        </w:rPr>
        <w:instrText xml:space="preserve"> REF _Ref363386902 \h  \* MERGEFORMAT </w:instrText>
      </w:r>
      <w:r>
        <w:fldChar w:fldCharType="separate"/>
      </w:r>
      <w:r>
        <w:rPr>
          <w:rFonts w:hint="eastAsia" w:ascii="宋体" w:hAnsi="宋体"/>
          <w:kern w:val="2"/>
          <w:sz w:val="24"/>
          <w:szCs w:val="24"/>
          <w:lang w:eastAsia="zh-CN"/>
        </w:rPr>
        <w:t>图6.1投诉管理流程</w:t>
      </w:r>
      <w:r>
        <w:fldChar w:fldCharType="end"/>
      </w:r>
      <w:r>
        <w:rPr>
          <w:rFonts w:hint="eastAsia" w:ascii="宋体" w:hAnsi="宋体"/>
          <w:kern w:val="2"/>
          <w:sz w:val="24"/>
          <w:szCs w:val="24"/>
          <w:lang w:eastAsia="zh-CN"/>
        </w:rPr>
        <w:t>。其职责是：客户质量投诉、三包索赔、外部退/换货接收处理；业务员外部质量处理支持、重大售后服务的组织与落实；协助业务员做好质量信息的处理回复；客户质量要求识别输入与管理；与公司品质部等职能部门接口做好售后服务工作；外部质量运行、客户质量满意度分析与组织改善等。最大限度减少顾客不满和业务流失。</w:t>
      </w:r>
    </w:p>
    <w:p>
      <w:pPr>
        <w:spacing w:line="300" w:lineRule="auto"/>
        <w:ind w:firstLine="440" w:firstLineChars="200"/>
        <w:jc w:val="center"/>
        <w:rPr>
          <w:rFonts w:cs="宋体" w:asciiTheme="majorEastAsia" w:hAnsiTheme="majorEastAsia" w:eastAsiaTheme="majorEastAsia"/>
          <w:sz w:val="24"/>
          <w:szCs w:val="24"/>
          <w:lang w:eastAsia="zh-CN"/>
        </w:rPr>
      </w:pPr>
      <w:r>
        <w:rPr>
          <w:rFonts w:hint="eastAsia"/>
          <w:lang w:eastAsia="zh-CN"/>
        </w:rPr>
        <w:drawing>
          <wp:inline distT="0" distB="0" distL="114300" distR="114300">
            <wp:extent cx="4588510" cy="6385560"/>
            <wp:effectExtent l="0" t="0" r="0" b="1524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0"/>
                    <a:stretch>
                      <a:fillRect/>
                    </a:stretch>
                  </pic:blipFill>
                  <pic:spPr>
                    <a:xfrm>
                      <a:off x="0" y="0"/>
                      <a:ext cx="4588510" cy="6385560"/>
                    </a:xfrm>
                    <a:prstGeom prst="rect">
                      <a:avLst/>
                    </a:prstGeom>
                    <a:noFill/>
                    <a:ln>
                      <a:noFill/>
                    </a:ln>
                  </pic:spPr>
                </pic:pic>
              </a:graphicData>
            </a:graphic>
          </wp:inline>
        </w:drawing>
      </w:r>
    </w:p>
    <w:p>
      <w:pPr>
        <w:pStyle w:val="35"/>
        <w:spacing w:line="360" w:lineRule="auto"/>
        <w:ind w:firstLine="480"/>
        <w:rPr>
          <w:rFonts w:ascii="宋体" w:hAnsi="宋体"/>
          <w:color w:val="auto"/>
        </w:rPr>
      </w:pPr>
    </w:p>
    <w:p>
      <w:pPr>
        <w:pStyle w:val="35"/>
        <w:spacing w:line="360" w:lineRule="auto"/>
        <w:ind w:firstLine="480"/>
        <w:rPr>
          <w:rFonts w:ascii="宋体" w:hAnsi="宋体"/>
          <w:color w:val="auto"/>
        </w:rPr>
      </w:pPr>
      <w:r>
        <w:rPr>
          <w:rFonts w:hint="eastAsia" w:ascii="宋体" w:hAnsi="宋体"/>
          <w:color w:val="auto"/>
          <w:lang w:eastAsia="zh-CN"/>
        </w:rPr>
        <w:t>营销部</w:t>
      </w:r>
      <w:r>
        <w:rPr>
          <w:rFonts w:hint="eastAsia" w:ascii="宋体" w:hAnsi="宋体"/>
          <w:color w:val="auto"/>
        </w:rPr>
        <w:t>门</w:t>
      </w:r>
      <w:r>
        <w:rPr>
          <w:rFonts w:ascii="宋体" w:hAnsi="宋体"/>
          <w:color w:val="auto"/>
        </w:rPr>
        <w:t>负责接收、收集顾客的抱怨/投诉，将顾客的意见记录，通过</w:t>
      </w:r>
      <w:r>
        <w:rPr>
          <w:rFonts w:hint="eastAsia" w:ascii="宋体" w:hAnsi="宋体"/>
          <w:color w:val="auto"/>
        </w:rPr>
        <w:t>客诉处理记录或顾客专用格式，</w:t>
      </w:r>
      <w:r>
        <w:rPr>
          <w:rFonts w:ascii="宋体" w:hAnsi="宋体"/>
          <w:color w:val="auto"/>
        </w:rPr>
        <w:t>将相关信息传递到</w:t>
      </w:r>
      <w:r>
        <w:rPr>
          <w:rFonts w:hint="eastAsia" w:ascii="宋体" w:hAnsi="宋体"/>
          <w:color w:val="auto"/>
          <w:lang w:eastAsia="zh-CN"/>
        </w:rPr>
        <w:t>品质部</w:t>
      </w:r>
      <w:r>
        <w:rPr>
          <w:rFonts w:ascii="宋体" w:hAnsi="宋体"/>
          <w:color w:val="auto"/>
        </w:rPr>
        <w:t>，</w:t>
      </w:r>
      <w:r>
        <w:rPr>
          <w:rFonts w:hint="eastAsia" w:ascii="宋体" w:hAnsi="宋体"/>
          <w:color w:val="auto"/>
          <w:lang w:eastAsia="zh-CN"/>
        </w:rPr>
        <w:t>品质部</w:t>
      </w:r>
      <w:r>
        <w:rPr>
          <w:rFonts w:hint="eastAsia" w:ascii="宋体" w:hAnsi="宋体"/>
          <w:color w:val="auto"/>
        </w:rPr>
        <w:t>门接到顾客投诉反馈信息后，立即组织相关人员对可疑产品进行区分隔离：</w:t>
      </w:r>
      <w:r>
        <w:rPr>
          <w:rFonts w:ascii="宋体" w:hAnsi="宋体"/>
          <w:color w:val="auto"/>
        </w:rPr>
        <w:fldChar w:fldCharType="begin"/>
      </w:r>
      <w:r>
        <w:rPr>
          <w:rFonts w:hint="eastAsia" w:ascii="宋体" w:hAnsi="宋体"/>
          <w:color w:val="auto"/>
        </w:rPr>
        <w:instrText xml:space="preserve">= 1 \* GB3</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区分隔离的可疑产品包括在制品，成品仓库，发运的在途品，外库存，涉及到外协件和原材料的应包含原材料库和相应的分供方；</w:t>
      </w:r>
      <w:r>
        <w:rPr>
          <w:rFonts w:ascii="宋体" w:hAnsi="宋体"/>
          <w:color w:val="auto"/>
        </w:rPr>
        <w:fldChar w:fldCharType="begin"/>
      </w:r>
      <w:r>
        <w:rPr>
          <w:rFonts w:hint="eastAsia" w:ascii="宋体" w:hAnsi="宋体"/>
          <w:color w:val="auto"/>
        </w:rPr>
        <w:instrText xml:space="preserve">= 2 \* GB3</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lang w:eastAsia="zh-CN"/>
        </w:rPr>
        <w:t>品质部</w:t>
      </w:r>
      <w:r>
        <w:rPr>
          <w:rFonts w:hint="eastAsia" w:ascii="宋体" w:hAnsi="宋体"/>
          <w:color w:val="auto"/>
        </w:rPr>
        <w:t>门组织相关人员根据异常情况，确定临时措施，对可疑不合格品进行检查、返工、返修或者报废处理；必要时，填写《客诉处理报告单》；</w:t>
      </w:r>
      <w:r>
        <w:rPr>
          <w:rFonts w:ascii="宋体" w:hAnsi="宋体"/>
          <w:color w:val="auto"/>
        </w:rPr>
        <w:fldChar w:fldCharType="begin"/>
      </w:r>
      <w:r>
        <w:rPr>
          <w:rFonts w:hint="eastAsia" w:ascii="宋体" w:hAnsi="宋体"/>
          <w:color w:val="auto"/>
        </w:rPr>
        <w:instrText xml:space="preserve">= 3 \* GB3</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在24小时之内把相关信息返回到顾客。</w:t>
      </w:r>
    </w:p>
    <w:p>
      <w:pPr>
        <w:pStyle w:val="35"/>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lang w:eastAsia="zh-CN"/>
        </w:rPr>
        <w:t>品质部</w:t>
      </w:r>
      <w:r>
        <w:rPr>
          <w:rFonts w:ascii="宋体" w:hAnsi="宋体"/>
          <w:color w:val="auto"/>
        </w:rPr>
        <w:t>组织相关人员分析原因，以确定根本原因，提出纠正和预防措施并组织实施，适当采用与风险相适应的防错技术</w:t>
      </w:r>
      <w:r>
        <w:rPr>
          <w:rFonts w:hint="eastAsia" w:ascii="宋体" w:hAnsi="宋体"/>
          <w:color w:val="auto"/>
        </w:rPr>
        <w:t>。</w:t>
      </w:r>
      <w:r>
        <w:rPr>
          <w:rFonts w:hint="eastAsia" w:ascii="宋体" w:hAnsi="宋体"/>
          <w:color w:val="auto"/>
          <w:lang w:eastAsia="zh-CN"/>
        </w:rPr>
        <w:t>品质部</w:t>
      </w:r>
      <w:r>
        <w:rPr>
          <w:rFonts w:ascii="宋体" w:hAnsi="宋体"/>
          <w:color w:val="auto"/>
        </w:rPr>
        <w:t>评价纠正和预防措施的有效性，防止问题的再次发生。</w:t>
      </w:r>
    </w:p>
    <w:p>
      <w:pPr>
        <w:pStyle w:val="35"/>
        <w:spacing w:line="360" w:lineRule="auto"/>
        <w:ind w:firstLine="480"/>
        <w:rPr>
          <w:rFonts w:ascii="宋体" w:hAnsi="宋体"/>
          <w:color w:val="auto"/>
        </w:rPr>
      </w:pPr>
      <w:r>
        <w:rPr>
          <w:rFonts w:hint="eastAsia" w:ascii="宋体" w:hAnsi="宋体"/>
          <w:color w:val="auto"/>
        </w:rPr>
        <w:t>投诉信息的</w:t>
      </w:r>
      <w:r>
        <w:rPr>
          <w:rFonts w:hint="eastAsia" w:ascii="宋体" w:hAnsi="宋体"/>
          <w:color w:val="000000" w:themeColor="text1"/>
        </w:rPr>
        <w:t>积累、分析。售后服务</w:t>
      </w:r>
      <w:r>
        <w:rPr>
          <w:rFonts w:ascii="宋体" w:hAnsi="宋体"/>
          <w:color w:val="000000" w:themeColor="text1"/>
        </w:rPr>
        <w:t>、</w:t>
      </w:r>
      <w:r>
        <w:rPr>
          <w:rFonts w:hint="eastAsia" w:ascii="宋体" w:hAnsi="宋体"/>
          <w:color w:val="000000" w:themeColor="text1"/>
          <w:lang w:eastAsia="zh-CN"/>
        </w:rPr>
        <w:t>品质部</w:t>
      </w:r>
      <w:r>
        <w:rPr>
          <w:rFonts w:ascii="宋体" w:hAnsi="宋体"/>
          <w:color w:val="000000" w:themeColor="text1"/>
        </w:rPr>
        <w:t>负责定期对顾客投诉情况进行统计</w:t>
      </w:r>
      <w:r>
        <w:rPr>
          <w:rFonts w:hint="eastAsia" w:ascii="宋体" w:hAnsi="宋体"/>
          <w:color w:val="000000" w:themeColor="text1"/>
        </w:rPr>
        <w:t>。</w:t>
      </w:r>
      <w:r>
        <w:rPr>
          <w:rFonts w:hint="eastAsia" w:ascii="宋体" w:hAnsi="宋体"/>
          <w:color w:val="000000" w:themeColor="text1"/>
          <w:lang w:eastAsia="zh-CN"/>
        </w:rPr>
        <w:t>品质部</w:t>
      </w:r>
      <w:r>
        <w:rPr>
          <w:rFonts w:hint="eastAsia" w:ascii="宋体" w:hAnsi="宋体"/>
          <w:color w:val="000000" w:themeColor="text1"/>
        </w:rPr>
        <w:t>负责对顾客反馈回的《质量信息反馈单》等单据和产品退回的情报展开分析，制订解决的措施，跟踪解决措施的有效性直至问</w:t>
      </w:r>
      <w:r>
        <w:rPr>
          <w:rFonts w:hint="eastAsia" w:ascii="宋体" w:hAnsi="宋体"/>
          <w:color w:val="auto"/>
        </w:rPr>
        <w:t>题关闭。</w:t>
      </w:r>
    </w:p>
    <w:p>
      <w:pPr>
        <w:pStyle w:val="35"/>
        <w:spacing w:before="240" w:beforeLines="100" w:line="360" w:lineRule="auto"/>
        <w:ind w:firstLine="0" w:firstLineChars="0"/>
        <w:rPr>
          <w:rFonts w:asciiTheme="majorEastAsia" w:hAnsiTheme="majorEastAsia" w:eastAsiaTheme="majorEastAsia" w:cstheme="majorEastAsia"/>
          <w:b/>
          <w:bCs/>
          <w:kern w:val="0"/>
          <w:szCs w:val="26"/>
        </w:rPr>
      </w:pPr>
      <w:r>
        <w:rPr>
          <w:rFonts w:hint="eastAsia" w:asciiTheme="majorEastAsia" w:hAnsiTheme="majorEastAsia" w:eastAsiaTheme="majorEastAsia" w:cstheme="majorEastAsia"/>
          <w:b/>
          <w:bCs/>
          <w:kern w:val="0"/>
          <w:szCs w:val="26"/>
        </w:rPr>
        <w:t>6.2产品质量承诺</w:t>
      </w:r>
    </w:p>
    <w:p>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为构建诚信经营、公平竞争的市场环境，切实保证产品质量及服务质量，维护消费者合法权益，公司向社会作出郑重承诺：</w:t>
      </w:r>
    </w:p>
    <w:p>
      <w:pPr>
        <w:widowControl/>
        <w:spacing w:line="360" w:lineRule="auto"/>
        <w:ind w:firstLine="480" w:firstLineChars="200"/>
        <w:rPr>
          <w:rFonts w:asciiTheme="majorEastAsia" w:hAnsiTheme="majorEastAsia" w:eastAsiaTheme="majorEastAsia" w:cstheme="majorEastAsia"/>
          <w:bCs/>
          <w:sz w:val="24"/>
          <w:szCs w:val="26"/>
          <w:lang w:eastAsia="zh-CN"/>
        </w:rPr>
      </w:pPr>
      <w:bookmarkStart w:id="26" w:name="_Toc7146_WPSOffice_Level2"/>
      <w:r>
        <w:rPr>
          <w:rFonts w:hint="eastAsia" w:asciiTheme="majorEastAsia" w:hAnsiTheme="majorEastAsia" w:eastAsiaTheme="majorEastAsia" w:cstheme="majorEastAsia"/>
          <w:bCs/>
          <w:sz w:val="24"/>
          <w:szCs w:val="26"/>
          <w:lang w:eastAsia="zh-CN"/>
        </w:rPr>
        <w:t>在不影响二次销售的情况下，7 个工作日内无理由退换货。</w:t>
      </w:r>
    </w:p>
    <w:p>
      <w:pPr>
        <w:widowControl/>
        <w:spacing w:line="360" w:lineRule="auto"/>
        <w:ind w:firstLine="480" w:firstLineChars="200"/>
        <w:rPr>
          <w:rFonts w:asciiTheme="majorEastAsia" w:hAnsiTheme="majorEastAsia" w:eastAsiaTheme="majorEastAsia" w:cstheme="majorEastAsia"/>
          <w:bCs/>
          <w:sz w:val="24"/>
          <w:szCs w:val="26"/>
          <w:lang w:eastAsia="zh-CN"/>
        </w:rPr>
      </w:pPr>
      <w:r>
        <w:rPr>
          <w:rFonts w:hint="eastAsia" w:asciiTheme="majorEastAsia" w:hAnsiTheme="majorEastAsia" w:eastAsiaTheme="majorEastAsia" w:cstheme="majorEastAsia"/>
          <w:bCs/>
          <w:sz w:val="24"/>
          <w:szCs w:val="26"/>
          <w:lang w:eastAsia="zh-CN"/>
        </w:rPr>
        <w:t>消费者收到货物之日起 20 天内提出异议，应在 2 个工作日内给出处理意见。</w:t>
      </w:r>
    </w:p>
    <w:p>
      <w:pPr>
        <w:widowControl/>
        <w:spacing w:line="360" w:lineRule="auto"/>
        <w:ind w:firstLine="480" w:firstLineChars="200"/>
        <w:rPr>
          <w:rFonts w:asciiTheme="majorEastAsia" w:hAnsiTheme="majorEastAsia" w:eastAsiaTheme="majorEastAsia" w:cstheme="majorEastAsia"/>
          <w:bCs/>
          <w:sz w:val="24"/>
          <w:szCs w:val="26"/>
          <w:lang w:eastAsia="zh-CN"/>
        </w:rPr>
      </w:pPr>
      <w:r>
        <w:rPr>
          <w:rFonts w:hint="eastAsia" w:asciiTheme="majorEastAsia" w:hAnsiTheme="majorEastAsia" w:eastAsiaTheme="majorEastAsia" w:cstheme="majorEastAsia"/>
          <w:bCs/>
          <w:sz w:val="24"/>
          <w:szCs w:val="26"/>
          <w:lang w:eastAsia="zh-CN"/>
        </w:rPr>
        <w:t>若因消费者使用不当或其他非质量问题导致产品无法正常使用，可根据消费者要求，协商解决问题。</w:t>
      </w:r>
    </w:p>
    <w:bookmarkEnd w:id="26"/>
    <w:p>
      <w:pPr>
        <w:rPr>
          <w:sz w:val="15"/>
          <w:szCs w:val="15"/>
          <w:lang w:eastAsia="zh-CN"/>
        </w:rPr>
      </w:pPr>
      <w:bookmarkStart w:id="27" w:name="_Toc24912745"/>
      <w:bookmarkStart w:id="28" w:name="_Toc15061_WPSOffice_Level1"/>
      <w:r>
        <w:rPr>
          <w:rFonts w:hint="eastAsia"/>
          <w:lang w:eastAsia="zh-CN"/>
        </w:rPr>
        <w:br w:type="page"/>
      </w:r>
    </w:p>
    <w:p>
      <w:pPr>
        <w:pStyle w:val="28"/>
        <w:tabs>
          <w:tab w:val="left" w:pos="804"/>
        </w:tabs>
        <w:spacing w:before="480" w:beforeLines="200" w:line="419" w:lineRule="exact"/>
        <w:ind w:right="198"/>
        <w:jc w:val="center"/>
        <w:rPr>
          <w:lang w:eastAsia="zh-CN"/>
        </w:rPr>
      </w:pPr>
      <w:r>
        <w:rPr>
          <w:rFonts w:hint="eastAsia"/>
          <w:lang w:eastAsia="zh-CN"/>
        </w:rPr>
        <w:t>第三部分 结</w:t>
      </w:r>
      <w:r>
        <w:rPr>
          <w:lang w:eastAsia="zh-CN"/>
        </w:rPr>
        <w:tab/>
      </w:r>
      <w:r>
        <w:rPr>
          <w:rFonts w:hint="eastAsia"/>
          <w:lang w:eastAsia="zh-CN"/>
        </w:rPr>
        <w:t>语</w:t>
      </w:r>
      <w:bookmarkEnd w:id="27"/>
      <w:bookmarkEnd w:id="28"/>
    </w:p>
    <w:p>
      <w:pPr>
        <w:spacing w:line="200" w:lineRule="exact"/>
        <w:rPr>
          <w:sz w:val="20"/>
          <w:szCs w:val="20"/>
          <w:lang w:eastAsia="zh-CN"/>
        </w:rPr>
      </w:pPr>
    </w:p>
    <w:p>
      <w:pPr>
        <w:spacing w:line="200" w:lineRule="exact"/>
        <w:rPr>
          <w:sz w:val="20"/>
          <w:szCs w:val="20"/>
          <w:lang w:eastAsia="zh-CN"/>
        </w:rPr>
      </w:pPr>
    </w:p>
    <w:p>
      <w:pPr>
        <w:pStyle w:val="6"/>
        <w:spacing w:before="37" w:line="360" w:lineRule="auto"/>
        <w:ind w:right="493" w:firstLine="522"/>
        <w:jc w:val="both"/>
        <w:rPr>
          <w:color w:val="000000" w:themeColor="text1"/>
          <w:w w:val="95"/>
          <w:lang w:eastAsia="zh-CN"/>
        </w:rPr>
      </w:pPr>
      <w:r>
        <w:rPr>
          <w:rFonts w:hint="eastAsia" w:cs="宋体"/>
          <w:color w:val="000000"/>
          <w:sz w:val="24"/>
          <w:szCs w:val="24"/>
          <w:lang w:eastAsia="zh-CN"/>
        </w:rPr>
        <w:t>自公司成立以来，公司严格遵守《公司法》《劳动法》《劳动合同法》《产品质量法》和《消费者权益保护法》等法律法规，自觉履行公司章程及公司制度，坚持“以人为本”“共同发展”的理念，保障员工的合法权益，恪守产品质量，“决不让一件不合格产品出厂”的质量宣言，“客户至上，以诚取信，服务社会，回报社会”管理理念，创新品牌，共同努力打造我们自己的名牌产品。学习世界级先进企业的管理模式，优化内部管理流程、整合管理方法，为实现“浙江制造”国内领先、国际一流的目标持续努力。</w:t>
      </w:r>
    </w:p>
    <w:p>
      <w:pPr>
        <w:pStyle w:val="28"/>
        <w:spacing w:line="360" w:lineRule="auto"/>
        <w:ind w:left="363" w:leftChars="165" w:right="198" w:firstLine="360" w:firstLineChars="15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是每一个成功企业的永恒追求。随着行业的不断发展和消费者消费观念的成熟，对产品的质量要求将会不断提高。作为一个负责任的企业，大鸿运在质量诚信体系建设上的脚步将永不停歇。我们将以浙江制造“品字标”认证为契机，认真夯实质量管理基础，推动企业的发展，持续完善管理体系，提升质量管理水平，努力夯实质量诚信基础，持续提升产质量竞争力，并向着“零缺陷”的目标不断迈进，为客户提供极具体验感的优质产品和优良服务！</w:t>
      </w:r>
    </w:p>
    <w:p>
      <w:pPr>
        <w:pStyle w:val="6"/>
        <w:spacing w:before="37" w:line="360" w:lineRule="auto"/>
        <w:ind w:right="493" w:firstLine="522"/>
        <w:jc w:val="both"/>
        <w:rPr>
          <w:rFonts w:cs="宋体"/>
          <w:color w:val="000000"/>
          <w:sz w:val="24"/>
          <w:szCs w:val="24"/>
          <w:lang w:eastAsia="zh-CN"/>
        </w:rPr>
      </w:pPr>
    </w:p>
    <w:p>
      <w:pPr>
        <w:pStyle w:val="6"/>
        <w:spacing w:before="37" w:line="360" w:lineRule="auto"/>
        <w:ind w:right="493" w:firstLine="522"/>
        <w:jc w:val="both"/>
        <w:rPr>
          <w:rFonts w:cs="宋体"/>
          <w:color w:val="000000"/>
          <w:sz w:val="24"/>
          <w:szCs w:val="24"/>
          <w:lang w:eastAsia="zh-CN"/>
        </w:rPr>
      </w:pPr>
    </w:p>
    <w:p>
      <w:pPr>
        <w:pStyle w:val="6"/>
        <w:spacing w:before="37" w:line="360" w:lineRule="auto"/>
        <w:ind w:right="493" w:firstLine="522"/>
        <w:jc w:val="both"/>
        <w:rPr>
          <w:rFonts w:cs="宋体"/>
          <w:color w:val="000000"/>
          <w:sz w:val="24"/>
          <w:szCs w:val="24"/>
          <w:lang w:eastAsia="zh-CN"/>
        </w:rPr>
      </w:pPr>
    </w:p>
    <w:p>
      <w:pPr>
        <w:pStyle w:val="6"/>
        <w:spacing w:before="37" w:line="360" w:lineRule="auto"/>
        <w:ind w:right="493" w:firstLine="522"/>
        <w:jc w:val="both"/>
        <w:rPr>
          <w:rFonts w:cs="宋体"/>
          <w:color w:val="000000"/>
          <w:sz w:val="24"/>
          <w:szCs w:val="24"/>
          <w:lang w:eastAsia="zh-CN"/>
        </w:rPr>
      </w:pPr>
    </w:p>
    <w:p>
      <w:pPr>
        <w:pStyle w:val="6"/>
        <w:spacing w:before="37" w:line="360" w:lineRule="auto"/>
        <w:ind w:right="493" w:firstLine="522"/>
        <w:jc w:val="both"/>
        <w:rPr>
          <w:rFonts w:cs="宋体"/>
          <w:color w:val="000000"/>
          <w:sz w:val="24"/>
          <w:szCs w:val="24"/>
          <w:lang w:eastAsia="zh-CN"/>
        </w:rPr>
      </w:pPr>
    </w:p>
    <w:p>
      <w:pPr>
        <w:pStyle w:val="6"/>
        <w:spacing w:before="37" w:line="360" w:lineRule="auto"/>
        <w:ind w:right="493" w:firstLine="522"/>
        <w:jc w:val="both"/>
        <w:rPr>
          <w:rFonts w:cs="宋体"/>
          <w:color w:val="000000"/>
          <w:sz w:val="24"/>
          <w:szCs w:val="24"/>
          <w:lang w:eastAsia="zh-CN"/>
        </w:rPr>
      </w:pPr>
    </w:p>
    <w:p>
      <w:pPr>
        <w:pStyle w:val="6"/>
        <w:spacing w:before="37" w:line="360" w:lineRule="auto"/>
        <w:ind w:left="5709" w:leftChars="458" w:right="493" w:hanging="4701" w:hangingChars="1959"/>
        <w:jc w:val="center"/>
        <w:rPr>
          <w:rFonts w:cs="宋体"/>
          <w:color w:val="000000"/>
          <w:sz w:val="24"/>
          <w:szCs w:val="24"/>
          <w:lang w:eastAsia="zh-CN"/>
        </w:rPr>
      </w:pPr>
      <w:r>
        <w:rPr>
          <w:rFonts w:hint="eastAsia" w:ascii="宋体" w:hAnsi="宋体" w:eastAsia="宋体" w:cs="宋体"/>
          <w:color w:val="000000"/>
          <w:sz w:val="24"/>
          <w:szCs w:val="24"/>
          <w:lang w:val="en-US" w:eastAsia="zh-CN" w:bidi="ar-SA"/>
        </w:rPr>
        <w:t xml:space="preserve">                                   温州市瓯海大鸿运箱包有限公司</w:t>
      </w:r>
    </w:p>
    <w:p>
      <w:pPr>
        <w:pStyle w:val="6"/>
        <w:spacing w:before="37" w:line="360" w:lineRule="auto"/>
        <w:ind w:right="493" w:firstLine="522"/>
        <w:jc w:val="both"/>
        <w:rPr>
          <w:rFonts w:cs="宋体"/>
          <w:color w:val="000000"/>
          <w:sz w:val="24"/>
          <w:szCs w:val="24"/>
          <w:lang w:eastAsia="zh-CN"/>
        </w:rPr>
      </w:pPr>
      <w:r>
        <w:rPr>
          <w:rFonts w:hint="eastAsia" w:cs="宋体"/>
          <w:color w:val="000000"/>
          <w:sz w:val="24"/>
          <w:szCs w:val="24"/>
          <w:lang w:eastAsia="zh-CN"/>
        </w:rPr>
        <w:t xml:space="preserve">                                              202</w:t>
      </w:r>
      <w:r>
        <w:rPr>
          <w:rFonts w:hint="eastAsia" w:cs="宋体"/>
          <w:color w:val="000000"/>
          <w:sz w:val="24"/>
          <w:szCs w:val="24"/>
          <w:lang w:val="en-US" w:eastAsia="zh-CN"/>
        </w:rPr>
        <w:t>2</w:t>
      </w:r>
      <w:r>
        <w:rPr>
          <w:rFonts w:hint="eastAsia" w:cs="宋体"/>
          <w:color w:val="000000"/>
          <w:sz w:val="24"/>
          <w:szCs w:val="24"/>
          <w:lang w:eastAsia="zh-CN"/>
        </w:rPr>
        <w:t>年</w:t>
      </w:r>
      <w:r>
        <w:rPr>
          <w:rFonts w:hint="eastAsia" w:cs="宋体"/>
          <w:color w:val="000000"/>
          <w:sz w:val="24"/>
          <w:szCs w:val="24"/>
          <w:lang w:val="en-US" w:eastAsia="zh-CN"/>
        </w:rPr>
        <w:t>11</w:t>
      </w:r>
      <w:r>
        <w:rPr>
          <w:rFonts w:hint="eastAsia" w:cs="宋体"/>
          <w:color w:val="000000"/>
          <w:sz w:val="24"/>
          <w:szCs w:val="24"/>
          <w:lang w:eastAsia="zh-CN"/>
        </w:rPr>
        <w:t>月</w:t>
      </w:r>
    </w:p>
    <w:sectPr>
      <w:footerReference r:id="rId6"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pple Color Emoji UI">
    <w:altName w:val="Segoe Print"/>
    <w:panose1 w:val="00000000000000000000"/>
    <w:charset w:val="00"/>
    <w:family w:val="auto"/>
    <w:pitch w:val="default"/>
    <w:sig w:usb0="00000000" w:usb1="00000000" w:usb2="14000000" w:usb3="00000000" w:csb0="0000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0Or8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Vi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z9Dq/LAQAAnAMAAA4AAAAAAAAAAQAgAAAAHgEAAGRycy9lMm9E&#10;b2MueG1sUEsFBgAAAAAGAAYAWQEAAFsFAAAAAA==&#10;">
              <v:fill on="f" focussize="0,0"/>
              <v:stroke on="f"/>
              <v:imagedata o:title=""/>
              <o:lock v:ext="edit" aspectratio="f"/>
              <v:textbox inset="0mm,0mm,0mm,0mm" style="mso-fit-shape-to-text:t;">
                <w:txbxContent>
                  <w:p>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9930765</wp:posOffset>
              </wp:positionV>
              <wp:extent cx="107950" cy="1397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5</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1028" o:spid="_x0000_s1026" o:spt="202" type="#_x0000_t202" style="position:absolute;left:0pt;margin-top:781.95pt;height:11pt;width:8.5pt;mso-position-horizontal:center;mso-position-horizontal-relative:margin;mso-position-vertical-relative:page;z-index:251659264;mso-width-relative:page;mso-height-relative:page;" filled="f" stroked="f" coordsize="21600,21600" o:gfxdata="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ami11gAAAAkBAAAPAAAAAAAAAAEAIAAAACIAAABkcnMvZG93bnJldi54bWxQSwEC&#10;FAAUAAAACACHTuJAUMZjoL0BAAB0AwAADgAAAAAAAAABACAAAAAlAQAAZHJzL2Uyb0RvYy54bWxQ&#10;SwUGAAAAAAYABgBZAQAAVAU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5</w:t>
                    </w:r>
                    <w:r>
                      <w:rPr>
                        <w:rFonts w:ascii="Times New Roman" w:hAnsi="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140970" cy="1397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1029" o:spid="_x0000_s1026" o:spt="202" type="#_x0000_t202" style="position:absolute;left:0pt;margin-top:781.95pt;height:11pt;width:11.1pt;mso-position-horizontal:center;mso-position-horizontal-relative:margin;mso-position-vertical-relative:page;z-index:251660288;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Y6srdcAAAAJAQAADwAAAAAAAAABACAAAAAiAAAAZHJzL2Rvd25yZXYueG1sUEsBAhQA&#10;FAAAAAgAh07iQDZ8hoC6AQAAdAMAAA4AAAAAAAAAAQAgAAAAJgEAAGRycy9lMm9Eb2MueG1sUEsF&#10;BgAAAAAGAAYAWQEAAFIFAAAAAA==&#10;">
              <v:fill on="f" focussize="0,0"/>
              <v:stroke on="f"/>
              <v:imagedata o:title=""/>
              <o:lock v:ext="edit" aspectratio="f"/>
              <v:textbox inset="0mm,0mm,0mm,0mm">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1312"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6" name="组合 1026"/>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5" name="任意多边形 1027"/>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70.8pt;margin-top:21.35pt;height:0.1pt;width:463.65pt;mso-position-horizontal-relative:page;z-index:-251655168;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kclGt9kAAAAKAQAADwAAAAAAAAABACAAAAAiAAAAZHJzL2Rvd25yZXYueG1sUEsBAhQAFAAA&#10;AAgAh07iQCiJb8iZAgAAuQUAAA4AAAAAAAAAAQAgAAAAKAEAAGRycy9lMm9Eb2MueG1sUEsFBgAA&#10;AAAGAAYAWQEAADMGAAAAAA==&#10;">
              <o:lock v:ext="edit" aspectratio="f"/>
              <v:shape id="任意多边形 1027" o:spid="_x0000_s1026" o:spt="100" style="position:absolute;left:1416;top:-308;height:2;width:9273;" filled="f" stroked="t" coordsize="9273,1" o:gfxdata="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h3u4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0F3A7"/>
    <w:multiLevelType w:val="singleLevel"/>
    <w:tmpl w:val="A800F3A7"/>
    <w:lvl w:ilvl="0" w:tentative="0">
      <w:start w:val="2"/>
      <w:numFmt w:val="decimal"/>
      <w:suff w:val="nothing"/>
      <w:lvlText w:val="%1、"/>
      <w:lvlJc w:val="left"/>
    </w:lvl>
  </w:abstractNum>
  <w:abstractNum w:abstractNumId="1">
    <w:nsid w:val="B906DB2D"/>
    <w:multiLevelType w:val="singleLevel"/>
    <w:tmpl w:val="B906DB2D"/>
    <w:lvl w:ilvl="0" w:tentative="0">
      <w:start w:val="1"/>
      <w:numFmt w:val="chineseCounting"/>
      <w:suff w:val="space"/>
      <w:lvlText w:val="第%1部分"/>
      <w:lvlJc w:val="left"/>
      <w:rPr>
        <w:rFonts w:hint="eastAsia"/>
      </w:rPr>
    </w:lvl>
  </w:abstractNum>
  <w:abstractNum w:abstractNumId="2">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60D70BCA"/>
    <w:multiLevelType w:val="singleLevel"/>
    <w:tmpl w:val="60D70BCA"/>
    <w:lvl w:ilvl="0" w:tentative="0">
      <w:start w:val="1"/>
      <w:numFmt w:val="decimal"/>
      <w:suff w:val="nothing"/>
      <w:lvlText w:val="（%1）"/>
      <w:lvlJc w:val="left"/>
    </w:lvl>
  </w:abstractNum>
  <w:abstractNum w:abstractNumId="5">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TI3ZTJkY2U1OWU4NzM0NTMyODAxMWEzYmViMGUifQ=="/>
    <w:docVar w:name="KSO_WPS_MARK_KEY" w:val="0dbcfe1a-d05f-4257-812e-c5cce315a733"/>
  </w:docVars>
  <w:rsids>
    <w:rsidRoot w:val="00475148"/>
    <w:rsid w:val="00004534"/>
    <w:rsid w:val="000174C0"/>
    <w:rsid w:val="00017988"/>
    <w:rsid w:val="00020FEF"/>
    <w:rsid w:val="000315D2"/>
    <w:rsid w:val="000328B3"/>
    <w:rsid w:val="00047371"/>
    <w:rsid w:val="0004797E"/>
    <w:rsid w:val="00047EAE"/>
    <w:rsid w:val="000521BD"/>
    <w:rsid w:val="00063F99"/>
    <w:rsid w:val="00067117"/>
    <w:rsid w:val="00070B42"/>
    <w:rsid w:val="00070FEC"/>
    <w:rsid w:val="00076E33"/>
    <w:rsid w:val="000833FE"/>
    <w:rsid w:val="00091CB7"/>
    <w:rsid w:val="00094A5F"/>
    <w:rsid w:val="00095100"/>
    <w:rsid w:val="000A2940"/>
    <w:rsid w:val="000A5C4E"/>
    <w:rsid w:val="000A6C51"/>
    <w:rsid w:val="000B14EE"/>
    <w:rsid w:val="000B2550"/>
    <w:rsid w:val="000B4C34"/>
    <w:rsid w:val="000D4A85"/>
    <w:rsid w:val="000E3B10"/>
    <w:rsid w:val="000F18A8"/>
    <w:rsid w:val="000F2EE6"/>
    <w:rsid w:val="000F3A5C"/>
    <w:rsid w:val="000F424F"/>
    <w:rsid w:val="000F4DAD"/>
    <w:rsid w:val="00101AED"/>
    <w:rsid w:val="0010647E"/>
    <w:rsid w:val="00106935"/>
    <w:rsid w:val="001123B3"/>
    <w:rsid w:val="00112C29"/>
    <w:rsid w:val="00122AA0"/>
    <w:rsid w:val="0012482A"/>
    <w:rsid w:val="00124968"/>
    <w:rsid w:val="00130F83"/>
    <w:rsid w:val="001312B4"/>
    <w:rsid w:val="00143E96"/>
    <w:rsid w:val="001463CA"/>
    <w:rsid w:val="0014685C"/>
    <w:rsid w:val="00147A61"/>
    <w:rsid w:val="00160658"/>
    <w:rsid w:val="001606CF"/>
    <w:rsid w:val="0016147A"/>
    <w:rsid w:val="00164F3B"/>
    <w:rsid w:val="00165B82"/>
    <w:rsid w:val="00174C6C"/>
    <w:rsid w:val="00176545"/>
    <w:rsid w:val="00176DEF"/>
    <w:rsid w:val="00181410"/>
    <w:rsid w:val="00190F8C"/>
    <w:rsid w:val="001A2C53"/>
    <w:rsid w:val="001A70BE"/>
    <w:rsid w:val="001C0758"/>
    <w:rsid w:val="001C2D64"/>
    <w:rsid w:val="001C3101"/>
    <w:rsid w:val="001D0902"/>
    <w:rsid w:val="001D5509"/>
    <w:rsid w:val="001D7F17"/>
    <w:rsid w:val="001E05B1"/>
    <w:rsid w:val="001E30A4"/>
    <w:rsid w:val="001E5EFC"/>
    <w:rsid w:val="001F2593"/>
    <w:rsid w:val="001F6590"/>
    <w:rsid w:val="0020393D"/>
    <w:rsid w:val="00207E25"/>
    <w:rsid w:val="00212704"/>
    <w:rsid w:val="0022363A"/>
    <w:rsid w:val="00233432"/>
    <w:rsid w:val="00236E6A"/>
    <w:rsid w:val="002407BE"/>
    <w:rsid w:val="00250E4E"/>
    <w:rsid w:val="00250ECE"/>
    <w:rsid w:val="00255D3D"/>
    <w:rsid w:val="00262134"/>
    <w:rsid w:val="00265502"/>
    <w:rsid w:val="002734EF"/>
    <w:rsid w:val="0028313B"/>
    <w:rsid w:val="0028708E"/>
    <w:rsid w:val="002A1100"/>
    <w:rsid w:val="002A494D"/>
    <w:rsid w:val="002C4F74"/>
    <w:rsid w:val="002C5F08"/>
    <w:rsid w:val="002C676D"/>
    <w:rsid w:val="002D0C36"/>
    <w:rsid w:val="002D6F7C"/>
    <w:rsid w:val="002E20FC"/>
    <w:rsid w:val="002E3E91"/>
    <w:rsid w:val="00300FA7"/>
    <w:rsid w:val="003013AE"/>
    <w:rsid w:val="00302A43"/>
    <w:rsid w:val="00307B49"/>
    <w:rsid w:val="00307F8D"/>
    <w:rsid w:val="003103CE"/>
    <w:rsid w:val="00311020"/>
    <w:rsid w:val="003253A0"/>
    <w:rsid w:val="00333B62"/>
    <w:rsid w:val="003352E9"/>
    <w:rsid w:val="0033607B"/>
    <w:rsid w:val="00342312"/>
    <w:rsid w:val="00343F69"/>
    <w:rsid w:val="003475AC"/>
    <w:rsid w:val="00353E0D"/>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4C04"/>
    <w:rsid w:val="003A6FD8"/>
    <w:rsid w:val="003A731A"/>
    <w:rsid w:val="003B42BF"/>
    <w:rsid w:val="003C2B94"/>
    <w:rsid w:val="003E0176"/>
    <w:rsid w:val="003E264E"/>
    <w:rsid w:val="003E617D"/>
    <w:rsid w:val="003F2398"/>
    <w:rsid w:val="003F7725"/>
    <w:rsid w:val="004034E1"/>
    <w:rsid w:val="00403523"/>
    <w:rsid w:val="0040485E"/>
    <w:rsid w:val="00406EAC"/>
    <w:rsid w:val="0041396E"/>
    <w:rsid w:val="00414B15"/>
    <w:rsid w:val="00415440"/>
    <w:rsid w:val="00420713"/>
    <w:rsid w:val="0042073D"/>
    <w:rsid w:val="00420D14"/>
    <w:rsid w:val="00421034"/>
    <w:rsid w:val="004320C1"/>
    <w:rsid w:val="00435EC7"/>
    <w:rsid w:val="00445439"/>
    <w:rsid w:val="004511F0"/>
    <w:rsid w:val="00453967"/>
    <w:rsid w:val="00455863"/>
    <w:rsid w:val="00457830"/>
    <w:rsid w:val="00463629"/>
    <w:rsid w:val="0046511C"/>
    <w:rsid w:val="00473F9A"/>
    <w:rsid w:val="00474787"/>
    <w:rsid w:val="00475148"/>
    <w:rsid w:val="00481528"/>
    <w:rsid w:val="00482BA9"/>
    <w:rsid w:val="00486E48"/>
    <w:rsid w:val="004912D5"/>
    <w:rsid w:val="00492097"/>
    <w:rsid w:val="004A04D6"/>
    <w:rsid w:val="004B39E5"/>
    <w:rsid w:val="004B5023"/>
    <w:rsid w:val="004C2248"/>
    <w:rsid w:val="004C3E00"/>
    <w:rsid w:val="004C41D4"/>
    <w:rsid w:val="004D2BBD"/>
    <w:rsid w:val="004D75F6"/>
    <w:rsid w:val="004E5399"/>
    <w:rsid w:val="004E6819"/>
    <w:rsid w:val="004F5914"/>
    <w:rsid w:val="004F7492"/>
    <w:rsid w:val="00500CDD"/>
    <w:rsid w:val="00507453"/>
    <w:rsid w:val="00511120"/>
    <w:rsid w:val="00511BBC"/>
    <w:rsid w:val="00512D01"/>
    <w:rsid w:val="005133E8"/>
    <w:rsid w:val="00513913"/>
    <w:rsid w:val="005223EB"/>
    <w:rsid w:val="005234D0"/>
    <w:rsid w:val="00523A79"/>
    <w:rsid w:val="0052687E"/>
    <w:rsid w:val="00536777"/>
    <w:rsid w:val="00545F3C"/>
    <w:rsid w:val="0054620B"/>
    <w:rsid w:val="00550DC4"/>
    <w:rsid w:val="00550E75"/>
    <w:rsid w:val="00553DA0"/>
    <w:rsid w:val="00575746"/>
    <w:rsid w:val="00594CC7"/>
    <w:rsid w:val="005A683B"/>
    <w:rsid w:val="005B6EAA"/>
    <w:rsid w:val="005C3CA0"/>
    <w:rsid w:val="005C50DB"/>
    <w:rsid w:val="005D2B98"/>
    <w:rsid w:val="005D46B4"/>
    <w:rsid w:val="005D518F"/>
    <w:rsid w:val="005E1D20"/>
    <w:rsid w:val="005E2A8F"/>
    <w:rsid w:val="005F4736"/>
    <w:rsid w:val="005F57F4"/>
    <w:rsid w:val="0060377F"/>
    <w:rsid w:val="00605BFC"/>
    <w:rsid w:val="00615C85"/>
    <w:rsid w:val="006172E0"/>
    <w:rsid w:val="00620535"/>
    <w:rsid w:val="00621937"/>
    <w:rsid w:val="0063773F"/>
    <w:rsid w:val="00642146"/>
    <w:rsid w:val="0064450C"/>
    <w:rsid w:val="00645AA8"/>
    <w:rsid w:val="006463E5"/>
    <w:rsid w:val="00651E7E"/>
    <w:rsid w:val="00662F17"/>
    <w:rsid w:val="00663804"/>
    <w:rsid w:val="00664E0B"/>
    <w:rsid w:val="00671377"/>
    <w:rsid w:val="006814C9"/>
    <w:rsid w:val="0068222D"/>
    <w:rsid w:val="0068288D"/>
    <w:rsid w:val="00687A7A"/>
    <w:rsid w:val="00687ECC"/>
    <w:rsid w:val="006924F4"/>
    <w:rsid w:val="00693B3B"/>
    <w:rsid w:val="00694184"/>
    <w:rsid w:val="00694CED"/>
    <w:rsid w:val="006A29D1"/>
    <w:rsid w:val="006A45B4"/>
    <w:rsid w:val="006A54B0"/>
    <w:rsid w:val="006A6286"/>
    <w:rsid w:val="006A64F4"/>
    <w:rsid w:val="006B0482"/>
    <w:rsid w:val="006B0A4C"/>
    <w:rsid w:val="006B21FA"/>
    <w:rsid w:val="006B25EC"/>
    <w:rsid w:val="006D6A13"/>
    <w:rsid w:val="006E2CDF"/>
    <w:rsid w:val="006E76A8"/>
    <w:rsid w:val="006F18DA"/>
    <w:rsid w:val="006F2167"/>
    <w:rsid w:val="006F4F7F"/>
    <w:rsid w:val="006F7A2A"/>
    <w:rsid w:val="007071F0"/>
    <w:rsid w:val="007078B5"/>
    <w:rsid w:val="00714310"/>
    <w:rsid w:val="00717BE7"/>
    <w:rsid w:val="0072238D"/>
    <w:rsid w:val="00734946"/>
    <w:rsid w:val="007411D3"/>
    <w:rsid w:val="00742AC1"/>
    <w:rsid w:val="00742D59"/>
    <w:rsid w:val="00744F3B"/>
    <w:rsid w:val="007460F9"/>
    <w:rsid w:val="00773313"/>
    <w:rsid w:val="007767F8"/>
    <w:rsid w:val="0078141D"/>
    <w:rsid w:val="00785DC5"/>
    <w:rsid w:val="00787A13"/>
    <w:rsid w:val="00790DAB"/>
    <w:rsid w:val="00793D34"/>
    <w:rsid w:val="007A153E"/>
    <w:rsid w:val="007A378E"/>
    <w:rsid w:val="007A5D60"/>
    <w:rsid w:val="007B116D"/>
    <w:rsid w:val="007B61AD"/>
    <w:rsid w:val="007C1973"/>
    <w:rsid w:val="007C29B8"/>
    <w:rsid w:val="007C3FBB"/>
    <w:rsid w:val="007C5439"/>
    <w:rsid w:val="007C6204"/>
    <w:rsid w:val="007D43A3"/>
    <w:rsid w:val="007E366D"/>
    <w:rsid w:val="007E6988"/>
    <w:rsid w:val="007F57D7"/>
    <w:rsid w:val="007F7EF6"/>
    <w:rsid w:val="00802934"/>
    <w:rsid w:val="0080686F"/>
    <w:rsid w:val="00806A7D"/>
    <w:rsid w:val="00820107"/>
    <w:rsid w:val="00820B22"/>
    <w:rsid w:val="00830F93"/>
    <w:rsid w:val="008331B0"/>
    <w:rsid w:val="00835989"/>
    <w:rsid w:val="00840934"/>
    <w:rsid w:val="008421F7"/>
    <w:rsid w:val="00845BF6"/>
    <w:rsid w:val="00853EB7"/>
    <w:rsid w:val="00854532"/>
    <w:rsid w:val="008576F6"/>
    <w:rsid w:val="0086023B"/>
    <w:rsid w:val="00860C2B"/>
    <w:rsid w:val="008620D5"/>
    <w:rsid w:val="008631C4"/>
    <w:rsid w:val="008631F6"/>
    <w:rsid w:val="00864130"/>
    <w:rsid w:val="008825D2"/>
    <w:rsid w:val="00883EFD"/>
    <w:rsid w:val="00886489"/>
    <w:rsid w:val="00891C3D"/>
    <w:rsid w:val="008A4289"/>
    <w:rsid w:val="008A4703"/>
    <w:rsid w:val="008A4A54"/>
    <w:rsid w:val="008B2706"/>
    <w:rsid w:val="008B4DC5"/>
    <w:rsid w:val="008C367F"/>
    <w:rsid w:val="008D1064"/>
    <w:rsid w:val="008E1D2A"/>
    <w:rsid w:val="008E2F5E"/>
    <w:rsid w:val="008E4D84"/>
    <w:rsid w:val="008F4F60"/>
    <w:rsid w:val="00900F96"/>
    <w:rsid w:val="00900FF4"/>
    <w:rsid w:val="009017B9"/>
    <w:rsid w:val="00903EEB"/>
    <w:rsid w:val="0090407E"/>
    <w:rsid w:val="009170CF"/>
    <w:rsid w:val="009233E5"/>
    <w:rsid w:val="009310DF"/>
    <w:rsid w:val="00931E12"/>
    <w:rsid w:val="00936DC5"/>
    <w:rsid w:val="00943B39"/>
    <w:rsid w:val="00943FEF"/>
    <w:rsid w:val="0094523F"/>
    <w:rsid w:val="00947F81"/>
    <w:rsid w:val="009534C6"/>
    <w:rsid w:val="00954A99"/>
    <w:rsid w:val="00954C68"/>
    <w:rsid w:val="00956E77"/>
    <w:rsid w:val="00957F35"/>
    <w:rsid w:val="0097239A"/>
    <w:rsid w:val="00974D92"/>
    <w:rsid w:val="0097558B"/>
    <w:rsid w:val="009769EF"/>
    <w:rsid w:val="00981E6B"/>
    <w:rsid w:val="00983377"/>
    <w:rsid w:val="0098657C"/>
    <w:rsid w:val="009873E6"/>
    <w:rsid w:val="0099452F"/>
    <w:rsid w:val="00994B52"/>
    <w:rsid w:val="009A6AD5"/>
    <w:rsid w:val="009B3135"/>
    <w:rsid w:val="009C2F39"/>
    <w:rsid w:val="009C3D16"/>
    <w:rsid w:val="009D5B4A"/>
    <w:rsid w:val="009D628E"/>
    <w:rsid w:val="009E63B7"/>
    <w:rsid w:val="00A00B30"/>
    <w:rsid w:val="00A00FF1"/>
    <w:rsid w:val="00A12016"/>
    <w:rsid w:val="00A12FD8"/>
    <w:rsid w:val="00A1340C"/>
    <w:rsid w:val="00A224DE"/>
    <w:rsid w:val="00A2503A"/>
    <w:rsid w:val="00A25716"/>
    <w:rsid w:val="00A3011C"/>
    <w:rsid w:val="00A32E16"/>
    <w:rsid w:val="00A41082"/>
    <w:rsid w:val="00A43900"/>
    <w:rsid w:val="00A43F7A"/>
    <w:rsid w:val="00A5012D"/>
    <w:rsid w:val="00A52227"/>
    <w:rsid w:val="00A6187B"/>
    <w:rsid w:val="00A71E48"/>
    <w:rsid w:val="00A73407"/>
    <w:rsid w:val="00A74C37"/>
    <w:rsid w:val="00AA07A3"/>
    <w:rsid w:val="00AA533F"/>
    <w:rsid w:val="00AB059C"/>
    <w:rsid w:val="00AB5CDA"/>
    <w:rsid w:val="00AB5F0F"/>
    <w:rsid w:val="00AC0534"/>
    <w:rsid w:val="00AC59AB"/>
    <w:rsid w:val="00AC7C87"/>
    <w:rsid w:val="00AD2595"/>
    <w:rsid w:val="00AD3BD4"/>
    <w:rsid w:val="00AE24FA"/>
    <w:rsid w:val="00AE6EC3"/>
    <w:rsid w:val="00AF1B6B"/>
    <w:rsid w:val="00AF235A"/>
    <w:rsid w:val="00AF6576"/>
    <w:rsid w:val="00AF6ED3"/>
    <w:rsid w:val="00B023F9"/>
    <w:rsid w:val="00B17BC2"/>
    <w:rsid w:val="00B210C7"/>
    <w:rsid w:val="00B216B3"/>
    <w:rsid w:val="00B2275F"/>
    <w:rsid w:val="00B22ECC"/>
    <w:rsid w:val="00B24DAF"/>
    <w:rsid w:val="00B30DA8"/>
    <w:rsid w:val="00B4134A"/>
    <w:rsid w:val="00B43176"/>
    <w:rsid w:val="00B43DDB"/>
    <w:rsid w:val="00B624CB"/>
    <w:rsid w:val="00B6521A"/>
    <w:rsid w:val="00B65DB8"/>
    <w:rsid w:val="00B673EC"/>
    <w:rsid w:val="00B855DE"/>
    <w:rsid w:val="00B90EA9"/>
    <w:rsid w:val="00BA21FE"/>
    <w:rsid w:val="00BA662B"/>
    <w:rsid w:val="00BB1032"/>
    <w:rsid w:val="00BC03CE"/>
    <w:rsid w:val="00BC1C78"/>
    <w:rsid w:val="00BC3FC1"/>
    <w:rsid w:val="00BC5D93"/>
    <w:rsid w:val="00BD09D8"/>
    <w:rsid w:val="00BD43CD"/>
    <w:rsid w:val="00BD44FC"/>
    <w:rsid w:val="00BD6671"/>
    <w:rsid w:val="00BD6963"/>
    <w:rsid w:val="00BE2292"/>
    <w:rsid w:val="00BE3EC3"/>
    <w:rsid w:val="00BF169B"/>
    <w:rsid w:val="00C01F1F"/>
    <w:rsid w:val="00C02511"/>
    <w:rsid w:val="00C06895"/>
    <w:rsid w:val="00C12719"/>
    <w:rsid w:val="00C12802"/>
    <w:rsid w:val="00C2472F"/>
    <w:rsid w:val="00C32024"/>
    <w:rsid w:val="00C4375E"/>
    <w:rsid w:val="00C4615A"/>
    <w:rsid w:val="00C46B77"/>
    <w:rsid w:val="00C53916"/>
    <w:rsid w:val="00C5669D"/>
    <w:rsid w:val="00C56F17"/>
    <w:rsid w:val="00C62DCF"/>
    <w:rsid w:val="00C678B7"/>
    <w:rsid w:val="00C714C2"/>
    <w:rsid w:val="00C817D7"/>
    <w:rsid w:val="00C82349"/>
    <w:rsid w:val="00C828E9"/>
    <w:rsid w:val="00C84E43"/>
    <w:rsid w:val="00C93AA4"/>
    <w:rsid w:val="00C9726F"/>
    <w:rsid w:val="00CB0DDE"/>
    <w:rsid w:val="00CB3783"/>
    <w:rsid w:val="00CB4F34"/>
    <w:rsid w:val="00CB7296"/>
    <w:rsid w:val="00CD1462"/>
    <w:rsid w:val="00CD34DA"/>
    <w:rsid w:val="00CD4EB6"/>
    <w:rsid w:val="00CD6807"/>
    <w:rsid w:val="00CD732A"/>
    <w:rsid w:val="00CE3844"/>
    <w:rsid w:val="00CE62A0"/>
    <w:rsid w:val="00CF274D"/>
    <w:rsid w:val="00D02CFC"/>
    <w:rsid w:val="00D04550"/>
    <w:rsid w:val="00D05E61"/>
    <w:rsid w:val="00D200B9"/>
    <w:rsid w:val="00D252BD"/>
    <w:rsid w:val="00D30AEB"/>
    <w:rsid w:val="00D3491D"/>
    <w:rsid w:val="00D42D7C"/>
    <w:rsid w:val="00D53017"/>
    <w:rsid w:val="00D57980"/>
    <w:rsid w:val="00D62007"/>
    <w:rsid w:val="00D63DF8"/>
    <w:rsid w:val="00D65BEA"/>
    <w:rsid w:val="00D70899"/>
    <w:rsid w:val="00D71960"/>
    <w:rsid w:val="00D74EE4"/>
    <w:rsid w:val="00D8198F"/>
    <w:rsid w:val="00D8519B"/>
    <w:rsid w:val="00D925CC"/>
    <w:rsid w:val="00DA0611"/>
    <w:rsid w:val="00DA4189"/>
    <w:rsid w:val="00DB010D"/>
    <w:rsid w:val="00DB0231"/>
    <w:rsid w:val="00DB0D0B"/>
    <w:rsid w:val="00DB2351"/>
    <w:rsid w:val="00DB3B0F"/>
    <w:rsid w:val="00DB4B95"/>
    <w:rsid w:val="00DB6CDF"/>
    <w:rsid w:val="00DC0348"/>
    <w:rsid w:val="00DD2361"/>
    <w:rsid w:val="00DD3A82"/>
    <w:rsid w:val="00DF06DF"/>
    <w:rsid w:val="00DF150E"/>
    <w:rsid w:val="00DF25B7"/>
    <w:rsid w:val="00DF5E12"/>
    <w:rsid w:val="00DF7D2C"/>
    <w:rsid w:val="00E0127F"/>
    <w:rsid w:val="00E07456"/>
    <w:rsid w:val="00E1219E"/>
    <w:rsid w:val="00E314D5"/>
    <w:rsid w:val="00E3773A"/>
    <w:rsid w:val="00E40566"/>
    <w:rsid w:val="00E426F2"/>
    <w:rsid w:val="00E52688"/>
    <w:rsid w:val="00E54197"/>
    <w:rsid w:val="00E61AAC"/>
    <w:rsid w:val="00E62449"/>
    <w:rsid w:val="00E6509D"/>
    <w:rsid w:val="00E73247"/>
    <w:rsid w:val="00E81DA0"/>
    <w:rsid w:val="00E84BC2"/>
    <w:rsid w:val="00E86769"/>
    <w:rsid w:val="00E902A4"/>
    <w:rsid w:val="00E9123B"/>
    <w:rsid w:val="00E917D3"/>
    <w:rsid w:val="00EA00A7"/>
    <w:rsid w:val="00EA29D6"/>
    <w:rsid w:val="00EA3260"/>
    <w:rsid w:val="00EA6969"/>
    <w:rsid w:val="00EB3ED3"/>
    <w:rsid w:val="00EC36E8"/>
    <w:rsid w:val="00EC52FA"/>
    <w:rsid w:val="00ED1CEE"/>
    <w:rsid w:val="00ED2DB2"/>
    <w:rsid w:val="00ED451D"/>
    <w:rsid w:val="00ED6534"/>
    <w:rsid w:val="00EE50FD"/>
    <w:rsid w:val="00EF34D8"/>
    <w:rsid w:val="00EF74B1"/>
    <w:rsid w:val="00F059F2"/>
    <w:rsid w:val="00F502C1"/>
    <w:rsid w:val="00F539CB"/>
    <w:rsid w:val="00F5526D"/>
    <w:rsid w:val="00F611AA"/>
    <w:rsid w:val="00F658FE"/>
    <w:rsid w:val="00F6742C"/>
    <w:rsid w:val="00F70820"/>
    <w:rsid w:val="00F9012E"/>
    <w:rsid w:val="00F91595"/>
    <w:rsid w:val="00F9444A"/>
    <w:rsid w:val="00F9494A"/>
    <w:rsid w:val="00F956AE"/>
    <w:rsid w:val="00F973C8"/>
    <w:rsid w:val="00FA047F"/>
    <w:rsid w:val="00FB72A2"/>
    <w:rsid w:val="00FC1180"/>
    <w:rsid w:val="00FC2C9D"/>
    <w:rsid w:val="00FD1729"/>
    <w:rsid w:val="00FE3827"/>
    <w:rsid w:val="00FF0332"/>
    <w:rsid w:val="00FF090D"/>
    <w:rsid w:val="018F338B"/>
    <w:rsid w:val="02C46BE6"/>
    <w:rsid w:val="04F30B42"/>
    <w:rsid w:val="055D1C44"/>
    <w:rsid w:val="056A55DF"/>
    <w:rsid w:val="059A2FC0"/>
    <w:rsid w:val="064C314F"/>
    <w:rsid w:val="06EC0F50"/>
    <w:rsid w:val="077E37CF"/>
    <w:rsid w:val="09483CBE"/>
    <w:rsid w:val="0976271F"/>
    <w:rsid w:val="09E95187"/>
    <w:rsid w:val="0A0B6B4A"/>
    <w:rsid w:val="0A411BD2"/>
    <w:rsid w:val="0B9559D8"/>
    <w:rsid w:val="0C1E5D53"/>
    <w:rsid w:val="0D540712"/>
    <w:rsid w:val="0D5B2460"/>
    <w:rsid w:val="10C85AC8"/>
    <w:rsid w:val="12130805"/>
    <w:rsid w:val="12ED66D1"/>
    <w:rsid w:val="13462B2C"/>
    <w:rsid w:val="136A03D0"/>
    <w:rsid w:val="14285D70"/>
    <w:rsid w:val="16960E39"/>
    <w:rsid w:val="178B0F18"/>
    <w:rsid w:val="18D13D99"/>
    <w:rsid w:val="19A0447A"/>
    <w:rsid w:val="19B9019D"/>
    <w:rsid w:val="19E75211"/>
    <w:rsid w:val="1A800930"/>
    <w:rsid w:val="1AA63211"/>
    <w:rsid w:val="1BBF5944"/>
    <w:rsid w:val="1CD77269"/>
    <w:rsid w:val="1D407904"/>
    <w:rsid w:val="1DBE25C1"/>
    <w:rsid w:val="1DC83D4A"/>
    <w:rsid w:val="1F622FD1"/>
    <w:rsid w:val="1F68187C"/>
    <w:rsid w:val="1FC860A9"/>
    <w:rsid w:val="20B4681C"/>
    <w:rsid w:val="21FE03C0"/>
    <w:rsid w:val="2233028C"/>
    <w:rsid w:val="2248192A"/>
    <w:rsid w:val="22E5357A"/>
    <w:rsid w:val="23A50AE1"/>
    <w:rsid w:val="23DD42B7"/>
    <w:rsid w:val="24747FE9"/>
    <w:rsid w:val="24951C4F"/>
    <w:rsid w:val="25AE19DE"/>
    <w:rsid w:val="25AF2F36"/>
    <w:rsid w:val="25D833A4"/>
    <w:rsid w:val="26762F16"/>
    <w:rsid w:val="27F13AF3"/>
    <w:rsid w:val="28A34CF5"/>
    <w:rsid w:val="28A75732"/>
    <w:rsid w:val="29543F45"/>
    <w:rsid w:val="29955B8E"/>
    <w:rsid w:val="2B571E96"/>
    <w:rsid w:val="2B597689"/>
    <w:rsid w:val="2B8524F6"/>
    <w:rsid w:val="2B880662"/>
    <w:rsid w:val="2CC5701E"/>
    <w:rsid w:val="2D250645"/>
    <w:rsid w:val="2D8611F7"/>
    <w:rsid w:val="2DF75FAF"/>
    <w:rsid w:val="2E1E4123"/>
    <w:rsid w:val="2E4377E9"/>
    <w:rsid w:val="2EBE445B"/>
    <w:rsid w:val="2F8D1F5F"/>
    <w:rsid w:val="2F9658A9"/>
    <w:rsid w:val="2FE707F2"/>
    <w:rsid w:val="2FFB1443"/>
    <w:rsid w:val="30CC6A23"/>
    <w:rsid w:val="30D901B3"/>
    <w:rsid w:val="312B2859"/>
    <w:rsid w:val="313A2746"/>
    <w:rsid w:val="31E65E64"/>
    <w:rsid w:val="322C4FB7"/>
    <w:rsid w:val="32883F14"/>
    <w:rsid w:val="34D14C22"/>
    <w:rsid w:val="34FF2AA3"/>
    <w:rsid w:val="3573333D"/>
    <w:rsid w:val="35804BF6"/>
    <w:rsid w:val="360A7AFE"/>
    <w:rsid w:val="364313A0"/>
    <w:rsid w:val="365F53D6"/>
    <w:rsid w:val="370C4F64"/>
    <w:rsid w:val="3AA54DCD"/>
    <w:rsid w:val="3BEF199A"/>
    <w:rsid w:val="3C225EF2"/>
    <w:rsid w:val="3CF63FBA"/>
    <w:rsid w:val="3EA24DF5"/>
    <w:rsid w:val="3EC91575"/>
    <w:rsid w:val="40A379D5"/>
    <w:rsid w:val="40AA30BF"/>
    <w:rsid w:val="40BB4E4D"/>
    <w:rsid w:val="41ED2CD4"/>
    <w:rsid w:val="42266EB6"/>
    <w:rsid w:val="42626533"/>
    <w:rsid w:val="43BC5618"/>
    <w:rsid w:val="450B526E"/>
    <w:rsid w:val="455C6204"/>
    <w:rsid w:val="473A4233"/>
    <w:rsid w:val="47773677"/>
    <w:rsid w:val="479E66F3"/>
    <w:rsid w:val="47F7140E"/>
    <w:rsid w:val="48285599"/>
    <w:rsid w:val="485B699D"/>
    <w:rsid w:val="4883485C"/>
    <w:rsid w:val="48E86FB5"/>
    <w:rsid w:val="4B202D3E"/>
    <w:rsid w:val="4B335CAB"/>
    <w:rsid w:val="4BEF403B"/>
    <w:rsid w:val="4C1E09A1"/>
    <w:rsid w:val="4DFB36DC"/>
    <w:rsid w:val="4F5B753D"/>
    <w:rsid w:val="4F667FCD"/>
    <w:rsid w:val="50894566"/>
    <w:rsid w:val="52773D6F"/>
    <w:rsid w:val="536819E0"/>
    <w:rsid w:val="544B0C87"/>
    <w:rsid w:val="559D264C"/>
    <w:rsid w:val="56F4024C"/>
    <w:rsid w:val="575B574A"/>
    <w:rsid w:val="58D2343F"/>
    <w:rsid w:val="59E82B3D"/>
    <w:rsid w:val="5A712CB8"/>
    <w:rsid w:val="5B6B3389"/>
    <w:rsid w:val="5BA93B47"/>
    <w:rsid w:val="5C730813"/>
    <w:rsid w:val="5C965F57"/>
    <w:rsid w:val="5CB15C5A"/>
    <w:rsid w:val="5CCF7293"/>
    <w:rsid w:val="5E8E3A37"/>
    <w:rsid w:val="5FA3057E"/>
    <w:rsid w:val="5FE365E0"/>
    <w:rsid w:val="606754C2"/>
    <w:rsid w:val="60C92174"/>
    <w:rsid w:val="60E13678"/>
    <w:rsid w:val="61942DA0"/>
    <w:rsid w:val="6223105B"/>
    <w:rsid w:val="63087D04"/>
    <w:rsid w:val="64EE0044"/>
    <w:rsid w:val="65542BFA"/>
    <w:rsid w:val="65D5573B"/>
    <w:rsid w:val="65E6543F"/>
    <w:rsid w:val="65FC5051"/>
    <w:rsid w:val="66675E78"/>
    <w:rsid w:val="66D21CD3"/>
    <w:rsid w:val="67721FDF"/>
    <w:rsid w:val="6820606B"/>
    <w:rsid w:val="68BE34EA"/>
    <w:rsid w:val="68C7523B"/>
    <w:rsid w:val="69191395"/>
    <w:rsid w:val="691B396C"/>
    <w:rsid w:val="69300671"/>
    <w:rsid w:val="6A5149E0"/>
    <w:rsid w:val="6C0E0407"/>
    <w:rsid w:val="6D0114C2"/>
    <w:rsid w:val="6DFB23D9"/>
    <w:rsid w:val="6E032675"/>
    <w:rsid w:val="6E192634"/>
    <w:rsid w:val="6E9C5689"/>
    <w:rsid w:val="6FC510A5"/>
    <w:rsid w:val="707A450F"/>
    <w:rsid w:val="715738BB"/>
    <w:rsid w:val="73874845"/>
    <w:rsid w:val="741708C9"/>
    <w:rsid w:val="748A45F7"/>
    <w:rsid w:val="749B2630"/>
    <w:rsid w:val="75BA74FD"/>
    <w:rsid w:val="75C87EAE"/>
    <w:rsid w:val="765647A3"/>
    <w:rsid w:val="76702C88"/>
    <w:rsid w:val="77874BA2"/>
    <w:rsid w:val="7BD717EC"/>
    <w:rsid w:val="7CFB7342"/>
    <w:rsid w:val="7D3578F6"/>
    <w:rsid w:val="7D3D307D"/>
    <w:rsid w:val="7E610C75"/>
    <w:rsid w:val="7EF50FB6"/>
    <w:rsid w:val="7F9D12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3">
    <w:name w:val="heading 2"/>
    <w:basedOn w:val="1"/>
    <w:next w:val="1"/>
    <w:qFormat/>
    <w:locked/>
    <w:uiPriority w:val="9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autoSpaceDE w:val="0"/>
      <w:autoSpaceDN w:val="0"/>
      <w:adjustRightInd w:val="0"/>
    </w:pPr>
    <w:rPr>
      <w:rFonts w:hint="eastAsia" w:ascii="MingLiU" w:hAnsi="Calibri" w:eastAsia="MingLiU" w:cs="Times New Roman"/>
      <w:color w:val="000000"/>
      <w:sz w:val="24"/>
      <w:lang w:val="en-US" w:eastAsia="zh-TW" w:bidi="ar-SA"/>
    </w:rPr>
  </w:style>
  <w:style w:type="paragraph" w:styleId="4">
    <w:name w:val="toc 7"/>
    <w:basedOn w:val="1"/>
    <w:next w:val="1"/>
    <w:locked/>
    <w:uiPriority w:val="0"/>
    <w:pPr>
      <w:ind w:left="1320"/>
    </w:pPr>
    <w:rPr>
      <w:rFonts w:asciiTheme="minorHAnsi" w:hAnsiTheme="minorHAnsi" w:cstheme="minorHAnsi"/>
      <w:sz w:val="18"/>
      <w:szCs w:val="18"/>
    </w:rPr>
  </w:style>
  <w:style w:type="paragraph" w:styleId="5">
    <w:name w:val="caption"/>
    <w:basedOn w:val="1"/>
    <w:next w:val="1"/>
    <w:link w:val="39"/>
    <w:unhideWhenUsed/>
    <w:qFormat/>
    <w:locked/>
    <w:uiPriority w:val="35"/>
    <w:pPr>
      <w:jc w:val="both"/>
    </w:pPr>
    <w:rPr>
      <w:rFonts w:ascii="Cambria" w:hAnsi="Cambria" w:eastAsia="黑体"/>
      <w:kern w:val="2"/>
      <w:sz w:val="20"/>
      <w:szCs w:val="20"/>
      <w:lang w:eastAsia="zh-CN"/>
    </w:rPr>
  </w:style>
  <w:style w:type="paragraph" w:styleId="6">
    <w:name w:val="Body Text"/>
    <w:basedOn w:val="1"/>
    <w:link w:val="27"/>
    <w:qFormat/>
    <w:uiPriority w:val="99"/>
    <w:pPr>
      <w:ind w:left="289"/>
    </w:pPr>
    <w:rPr>
      <w:rFonts w:ascii="宋体" w:hAnsi="宋体"/>
      <w:sz w:val="26"/>
      <w:szCs w:val="26"/>
    </w:rPr>
  </w:style>
  <w:style w:type="paragraph" w:styleId="7">
    <w:name w:val="toc 5"/>
    <w:basedOn w:val="1"/>
    <w:next w:val="1"/>
    <w:qFormat/>
    <w:locked/>
    <w:uiPriority w:val="0"/>
    <w:pPr>
      <w:ind w:left="880"/>
    </w:pPr>
    <w:rPr>
      <w:rFonts w:asciiTheme="minorHAnsi" w:hAnsiTheme="minorHAnsi" w:cstheme="minorHAnsi"/>
      <w:sz w:val="18"/>
      <w:szCs w:val="18"/>
    </w:rPr>
  </w:style>
  <w:style w:type="paragraph" w:styleId="8">
    <w:name w:val="toc 3"/>
    <w:basedOn w:val="1"/>
    <w:next w:val="1"/>
    <w:qFormat/>
    <w:locked/>
    <w:uiPriority w:val="0"/>
    <w:pPr>
      <w:ind w:left="440"/>
    </w:pPr>
    <w:rPr>
      <w:rFonts w:asciiTheme="minorHAnsi" w:hAnsiTheme="minorHAnsi" w:cstheme="minorHAnsi"/>
      <w:i/>
      <w:iCs/>
      <w:sz w:val="20"/>
      <w:szCs w:val="20"/>
    </w:rPr>
  </w:style>
  <w:style w:type="paragraph" w:styleId="9">
    <w:name w:val="Plain Text"/>
    <w:basedOn w:val="1"/>
    <w:link w:val="53"/>
    <w:qFormat/>
    <w:uiPriority w:val="0"/>
    <w:pPr>
      <w:jc w:val="both"/>
    </w:pPr>
    <w:rPr>
      <w:rFonts w:ascii="宋体" w:hAnsi="Courier New"/>
      <w:kern w:val="2"/>
      <w:sz w:val="21"/>
      <w:szCs w:val="24"/>
      <w:lang w:eastAsia="zh-CN"/>
    </w:rPr>
  </w:style>
  <w:style w:type="paragraph" w:styleId="10">
    <w:name w:val="toc 8"/>
    <w:basedOn w:val="1"/>
    <w:next w:val="1"/>
    <w:locked/>
    <w:uiPriority w:val="0"/>
    <w:pPr>
      <w:ind w:left="1540"/>
    </w:pPr>
    <w:rPr>
      <w:rFonts w:asciiTheme="minorHAnsi" w:hAnsiTheme="minorHAnsi" w:cstheme="minorHAnsi"/>
      <w:sz w:val="18"/>
      <w:szCs w:val="18"/>
    </w:rPr>
  </w:style>
  <w:style w:type="paragraph" w:styleId="11">
    <w:name w:val="Date"/>
    <w:basedOn w:val="1"/>
    <w:next w:val="1"/>
    <w:link w:val="52"/>
    <w:semiHidden/>
    <w:unhideWhenUsed/>
    <w:qFormat/>
    <w:uiPriority w:val="99"/>
    <w:pPr>
      <w:ind w:left="100" w:leftChars="2500"/>
    </w:pPr>
  </w:style>
  <w:style w:type="paragraph" w:styleId="12">
    <w:name w:val="Body Text Indent 2"/>
    <w:basedOn w:val="1"/>
    <w:qFormat/>
    <w:uiPriority w:val="99"/>
    <w:pPr>
      <w:spacing w:after="120" w:line="480" w:lineRule="auto"/>
      <w:ind w:left="420" w:leftChars="200"/>
    </w:pPr>
    <w:rPr>
      <w:sz w:val="24"/>
      <w:szCs w:val="24"/>
    </w:rPr>
  </w:style>
  <w:style w:type="paragraph" w:styleId="13">
    <w:name w:val="Balloon Text"/>
    <w:basedOn w:val="1"/>
    <w:link w:val="34"/>
    <w:semiHidden/>
    <w:qFormat/>
    <w:uiPriority w:val="99"/>
    <w:pPr>
      <w:jc w:val="both"/>
    </w:pPr>
    <w:rPr>
      <w:sz w:val="18"/>
      <w:szCs w:val="18"/>
      <w:lang w:eastAsia="zh-CN"/>
    </w:rPr>
  </w:style>
  <w:style w:type="paragraph" w:styleId="14">
    <w:name w:val="footer"/>
    <w:basedOn w:val="1"/>
    <w:link w:val="33"/>
    <w:semiHidden/>
    <w:qFormat/>
    <w:uiPriority w:val="99"/>
    <w:pPr>
      <w:tabs>
        <w:tab w:val="center" w:pos="4153"/>
        <w:tab w:val="right" w:pos="8306"/>
      </w:tabs>
      <w:snapToGrid w:val="0"/>
    </w:pPr>
    <w:rPr>
      <w:sz w:val="18"/>
      <w:szCs w:val="18"/>
    </w:rPr>
  </w:style>
  <w:style w:type="paragraph" w:styleId="15">
    <w:name w:val="header"/>
    <w:basedOn w:val="1"/>
    <w:link w:val="32"/>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locked/>
    <w:uiPriority w:val="0"/>
    <w:pPr>
      <w:spacing w:before="120" w:after="120"/>
    </w:pPr>
    <w:rPr>
      <w:rFonts w:asciiTheme="minorHAnsi" w:hAnsiTheme="minorHAnsi" w:cstheme="minorHAnsi"/>
      <w:b/>
      <w:bCs/>
      <w:caps/>
      <w:sz w:val="20"/>
      <w:szCs w:val="20"/>
    </w:rPr>
  </w:style>
  <w:style w:type="paragraph" w:styleId="17">
    <w:name w:val="toc 4"/>
    <w:basedOn w:val="1"/>
    <w:next w:val="1"/>
    <w:qFormat/>
    <w:locked/>
    <w:uiPriority w:val="0"/>
    <w:pPr>
      <w:ind w:left="660"/>
    </w:pPr>
    <w:rPr>
      <w:rFonts w:asciiTheme="minorHAnsi" w:hAnsiTheme="minorHAnsi" w:cstheme="minorHAnsi"/>
      <w:sz w:val="18"/>
      <w:szCs w:val="18"/>
    </w:rPr>
  </w:style>
  <w:style w:type="paragraph" w:styleId="18">
    <w:name w:val="toc 6"/>
    <w:basedOn w:val="1"/>
    <w:next w:val="1"/>
    <w:qFormat/>
    <w:locked/>
    <w:uiPriority w:val="0"/>
    <w:pPr>
      <w:ind w:left="1100"/>
    </w:pPr>
    <w:rPr>
      <w:rFonts w:asciiTheme="minorHAnsi" w:hAnsiTheme="minorHAnsi" w:cstheme="minorHAnsi"/>
      <w:sz w:val="18"/>
      <w:szCs w:val="18"/>
    </w:rPr>
  </w:style>
  <w:style w:type="paragraph" w:styleId="19">
    <w:name w:val="toc 2"/>
    <w:basedOn w:val="1"/>
    <w:next w:val="1"/>
    <w:qFormat/>
    <w:locked/>
    <w:uiPriority w:val="39"/>
    <w:pPr>
      <w:ind w:left="220"/>
    </w:pPr>
    <w:rPr>
      <w:rFonts w:asciiTheme="minorHAnsi" w:hAnsiTheme="minorHAnsi" w:cstheme="minorHAnsi"/>
      <w:smallCaps/>
      <w:sz w:val="20"/>
      <w:szCs w:val="20"/>
    </w:rPr>
  </w:style>
  <w:style w:type="paragraph" w:styleId="20">
    <w:name w:val="toc 9"/>
    <w:basedOn w:val="1"/>
    <w:next w:val="1"/>
    <w:qFormat/>
    <w:locked/>
    <w:uiPriority w:val="0"/>
    <w:pPr>
      <w:ind w:left="1760"/>
    </w:pPr>
    <w:rPr>
      <w:rFonts w:asciiTheme="minorHAnsi" w:hAnsiTheme="minorHAnsi" w:cstheme="minorHAnsi"/>
      <w:sz w:val="18"/>
      <w:szCs w:val="18"/>
    </w:rPr>
  </w:style>
  <w:style w:type="paragraph" w:styleId="21">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4">
    <w:name w:val="Strong"/>
    <w:basedOn w:val="23"/>
    <w:qFormat/>
    <w:locked/>
    <w:uiPriority w:val="22"/>
    <w:rPr>
      <w:b/>
      <w:bCs/>
    </w:rPr>
  </w:style>
  <w:style w:type="character" w:styleId="25">
    <w:name w:val="Hyperlink"/>
    <w:basedOn w:val="23"/>
    <w:qFormat/>
    <w:uiPriority w:val="99"/>
    <w:rPr>
      <w:rFonts w:cs="Times New Roman"/>
      <w:color w:val="0000FF"/>
      <w:u w:val="single"/>
    </w:rPr>
  </w:style>
  <w:style w:type="table" w:customStyle="1" w:styleId="26">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27">
    <w:name w:val="正文文本 字符"/>
    <w:basedOn w:val="23"/>
    <w:link w:val="6"/>
    <w:semiHidden/>
    <w:qFormat/>
    <w:locked/>
    <w:uiPriority w:val="99"/>
    <w:rPr>
      <w:rFonts w:cs="Times New Roman"/>
      <w:kern w:val="0"/>
      <w:sz w:val="22"/>
      <w:lang w:eastAsia="en-US"/>
    </w:rPr>
  </w:style>
  <w:style w:type="paragraph" w:customStyle="1" w:styleId="28">
    <w:name w:val="Heading 11"/>
    <w:basedOn w:val="1"/>
    <w:qFormat/>
    <w:uiPriority w:val="99"/>
    <w:pPr>
      <w:outlineLvl w:val="1"/>
    </w:pPr>
    <w:rPr>
      <w:rFonts w:ascii="黑体" w:hAnsi="黑体" w:eastAsia="黑体"/>
      <w:sz w:val="32"/>
      <w:szCs w:val="32"/>
    </w:rPr>
  </w:style>
  <w:style w:type="paragraph" w:customStyle="1" w:styleId="29">
    <w:name w:val="Heading 21"/>
    <w:basedOn w:val="1"/>
    <w:qFormat/>
    <w:uiPriority w:val="99"/>
    <w:pPr>
      <w:ind w:left="560" w:hanging="629"/>
      <w:outlineLvl w:val="2"/>
    </w:pPr>
    <w:rPr>
      <w:rFonts w:ascii="宋体" w:hAnsi="宋体"/>
      <w:sz w:val="28"/>
      <w:szCs w:val="28"/>
    </w:rPr>
  </w:style>
  <w:style w:type="paragraph" w:styleId="30">
    <w:name w:val="List Paragraph"/>
    <w:basedOn w:val="1"/>
    <w:qFormat/>
    <w:uiPriority w:val="34"/>
  </w:style>
  <w:style w:type="paragraph" w:customStyle="1" w:styleId="31">
    <w:name w:val="Table Paragraph"/>
    <w:basedOn w:val="1"/>
    <w:qFormat/>
    <w:uiPriority w:val="99"/>
  </w:style>
  <w:style w:type="character" w:customStyle="1" w:styleId="32">
    <w:name w:val="页眉 字符"/>
    <w:basedOn w:val="23"/>
    <w:link w:val="15"/>
    <w:semiHidden/>
    <w:qFormat/>
    <w:locked/>
    <w:uiPriority w:val="99"/>
    <w:rPr>
      <w:rFonts w:cs="Times New Roman"/>
      <w:sz w:val="18"/>
      <w:szCs w:val="18"/>
    </w:rPr>
  </w:style>
  <w:style w:type="character" w:customStyle="1" w:styleId="33">
    <w:name w:val="页脚 字符"/>
    <w:basedOn w:val="23"/>
    <w:link w:val="14"/>
    <w:semiHidden/>
    <w:qFormat/>
    <w:locked/>
    <w:uiPriority w:val="99"/>
    <w:rPr>
      <w:rFonts w:cs="Times New Roman"/>
      <w:sz w:val="18"/>
      <w:szCs w:val="18"/>
    </w:rPr>
  </w:style>
  <w:style w:type="character" w:customStyle="1" w:styleId="34">
    <w:name w:val="批注框文本 字符"/>
    <w:basedOn w:val="23"/>
    <w:link w:val="13"/>
    <w:semiHidden/>
    <w:qFormat/>
    <w:locked/>
    <w:uiPriority w:val="99"/>
    <w:rPr>
      <w:rFonts w:ascii="Calibri" w:hAnsi="Calibri" w:eastAsia="宋体" w:cs="Times New Roman"/>
      <w:sz w:val="18"/>
      <w:szCs w:val="18"/>
      <w:lang w:val="en-US" w:eastAsia="zh-CN" w:bidi="ar-SA"/>
    </w:rPr>
  </w:style>
  <w:style w:type="paragraph" w:customStyle="1" w:styleId="35">
    <w:name w:val="YL正文"/>
    <w:basedOn w:val="1"/>
    <w:link w:val="36"/>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36">
    <w:name w:val="YL正文 Char"/>
    <w:basedOn w:val="23"/>
    <w:link w:val="35"/>
    <w:qFormat/>
    <w:locked/>
    <w:uiPriority w:val="99"/>
    <w:rPr>
      <w:rFonts w:ascii="仿宋" w:hAnsi="仿宋" w:eastAsia="宋体" w:cs="Times New Roman"/>
      <w:color w:val="000000"/>
      <w:kern w:val="2"/>
      <w:sz w:val="24"/>
      <w:szCs w:val="24"/>
      <w:lang w:val="en-US" w:eastAsia="zh-CN" w:bidi="ar-SA"/>
    </w:rPr>
  </w:style>
  <w:style w:type="paragraph" w:customStyle="1" w:styleId="37">
    <w:name w:val="YL六级"/>
    <w:basedOn w:val="1"/>
    <w:link w:val="38"/>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38">
    <w:name w:val="YL六级 Char"/>
    <w:basedOn w:val="23"/>
    <w:link w:val="37"/>
    <w:qFormat/>
    <w:locked/>
    <w:uiPriority w:val="99"/>
    <w:rPr>
      <w:rFonts w:ascii="仿宋" w:hAnsi="仿宋" w:eastAsia="宋体" w:cs="Times New Roman"/>
      <w:b/>
      <w:color w:val="000000"/>
      <w:kern w:val="2"/>
      <w:sz w:val="24"/>
      <w:szCs w:val="24"/>
      <w:lang w:val="en-US" w:eastAsia="zh-CN" w:bidi="ar-SA"/>
    </w:rPr>
  </w:style>
  <w:style w:type="character" w:customStyle="1" w:styleId="39">
    <w:name w:val="题注 字符"/>
    <w:basedOn w:val="23"/>
    <w:link w:val="5"/>
    <w:qFormat/>
    <w:uiPriority w:val="35"/>
    <w:rPr>
      <w:rFonts w:ascii="Cambria" w:hAnsi="Cambria" w:eastAsia="黑体"/>
      <w:kern w:val="2"/>
    </w:rPr>
  </w:style>
  <w:style w:type="paragraph" w:customStyle="1" w:styleId="40">
    <w:name w:val="XN表头"/>
    <w:basedOn w:val="5"/>
    <w:qFormat/>
    <w:uiPriority w:val="0"/>
    <w:pPr>
      <w:spacing w:beforeLines="30" w:afterLines="20"/>
      <w:jc w:val="center"/>
    </w:pPr>
    <w:rPr>
      <w:rFonts w:eastAsia="宋体"/>
      <w:b/>
      <w:sz w:val="24"/>
    </w:rPr>
  </w:style>
  <w:style w:type="paragraph" w:customStyle="1" w:styleId="41">
    <w:name w:val="XN表内容"/>
    <w:basedOn w:val="1"/>
    <w:link w:val="42"/>
    <w:qFormat/>
    <w:uiPriority w:val="0"/>
    <w:pPr>
      <w:spacing w:line="264" w:lineRule="auto"/>
      <w:jc w:val="center"/>
    </w:pPr>
    <w:rPr>
      <w:rFonts w:ascii="仿宋" w:hAnsi="仿宋"/>
      <w:color w:val="000000"/>
      <w:kern w:val="2"/>
      <w:sz w:val="21"/>
      <w:szCs w:val="24"/>
      <w:lang w:eastAsia="zh-CN"/>
    </w:rPr>
  </w:style>
  <w:style w:type="character" w:customStyle="1" w:styleId="42">
    <w:name w:val="XN表内容 Char"/>
    <w:basedOn w:val="23"/>
    <w:link w:val="41"/>
    <w:qFormat/>
    <w:uiPriority w:val="0"/>
    <w:rPr>
      <w:rFonts w:ascii="仿宋" w:hAnsi="仿宋"/>
      <w:color w:val="000000"/>
      <w:kern w:val="2"/>
      <w:sz w:val="21"/>
      <w:szCs w:val="24"/>
    </w:rPr>
  </w:style>
  <w:style w:type="paragraph" w:customStyle="1" w:styleId="43">
    <w:name w:val="表头"/>
    <w:basedOn w:val="1"/>
    <w:link w:val="44"/>
    <w:qFormat/>
    <w:uiPriority w:val="0"/>
    <w:pPr>
      <w:adjustRightInd w:val="0"/>
      <w:snapToGrid w:val="0"/>
      <w:jc w:val="center"/>
    </w:pPr>
    <w:rPr>
      <w:rFonts w:ascii="宋体" w:hAnsi="宋体"/>
      <w:b/>
      <w:sz w:val="20"/>
      <w:szCs w:val="21"/>
      <w:lang w:eastAsia="zh-CN"/>
    </w:rPr>
  </w:style>
  <w:style w:type="character" w:customStyle="1" w:styleId="44">
    <w:name w:val="表头 Char"/>
    <w:link w:val="43"/>
    <w:qFormat/>
    <w:uiPriority w:val="0"/>
    <w:rPr>
      <w:rFonts w:ascii="宋体" w:hAnsi="宋体"/>
      <w:b/>
      <w:szCs w:val="21"/>
    </w:rPr>
  </w:style>
  <w:style w:type="paragraph" w:customStyle="1" w:styleId="45">
    <w:name w:val="表头五号"/>
    <w:basedOn w:val="1"/>
    <w:link w:val="46"/>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46">
    <w:name w:val="表头五号 Char"/>
    <w:basedOn w:val="23"/>
    <w:link w:val="45"/>
    <w:qFormat/>
    <w:uiPriority w:val="0"/>
    <w:rPr>
      <w:rFonts w:ascii="宋体" w:hAnsi="宋体"/>
      <w:b/>
      <w:kern w:val="2"/>
      <w:sz w:val="21"/>
      <w:szCs w:val="24"/>
    </w:rPr>
  </w:style>
  <w:style w:type="paragraph" w:customStyle="1" w:styleId="47">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48">
    <w:name w:val="font01"/>
    <w:basedOn w:val="23"/>
    <w:qFormat/>
    <w:uiPriority w:val="0"/>
    <w:rPr>
      <w:rFonts w:hint="eastAsia" w:ascii="宋体" w:hAnsi="宋体" w:eastAsia="宋体" w:cs="宋体"/>
      <w:color w:val="000000"/>
      <w:sz w:val="20"/>
      <w:szCs w:val="20"/>
      <w:u w:val="none"/>
    </w:rPr>
  </w:style>
  <w:style w:type="character" w:customStyle="1" w:styleId="49">
    <w:name w:val="font11"/>
    <w:basedOn w:val="23"/>
    <w:qFormat/>
    <w:uiPriority w:val="0"/>
    <w:rPr>
      <w:rFonts w:hint="default" w:ascii="Arial" w:hAnsi="Arial" w:cs="Arial"/>
      <w:color w:val="000000"/>
      <w:sz w:val="20"/>
      <w:szCs w:val="20"/>
      <w:u w:val="none"/>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2">
    <w:name w:val="日期 字符"/>
    <w:basedOn w:val="23"/>
    <w:link w:val="11"/>
    <w:semiHidden/>
    <w:qFormat/>
    <w:uiPriority w:val="99"/>
    <w:rPr>
      <w:rFonts w:ascii="Calibri" w:hAnsi="Calibri"/>
      <w:sz w:val="22"/>
      <w:szCs w:val="22"/>
      <w:lang w:eastAsia="en-US"/>
    </w:rPr>
  </w:style>
  <w:style w:type="character" w:customStyle="1" w:styleId="53">
    <w:name w:val="纯文本 字符"/>
    <w:basedOn w:val="23"/>
    <w:link w:val="9"/>
    <w:qFormat/>
    <w:uiPriority w:val="0"/>
    <w:rPr>
      <w:rFonts w:ascii="宋体" w:hAnsi="Courier New"/>
      <w:kern w:val="2"/>
      <w:sz w:val="21"/>
      <w:szCs w:val="24"/>
    </w:rPr>
  </w:style>
  <w:style w:type="paragraph" w:customStyle="1" w:styleId="54">
    <w:name w:val="XN图标"/>
    <w:basedOn w:val="1"/>
    <w:qFormat/>
    <w:uiPriority w:val="0"/>
    <w:pPr>
      <w:widowControl/>
      <w:spacing w:line="264" w:lineRule="auto"/>
      <w:jc w:val="center"/>
    </w:pPr>
    <w:rPr>
      <w:rFonts w:ascii="仿宋" w:hAnsi="仿宋" w:eastAsia="仿宋"/>
      <w:color w:val="000000"/>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B45F0-808C-4C1E-8C07-E13C0228B973}">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21</Pages>
  <Words>10408</Words>
  <Characters>10705</Characters>
  <Lines>86</Lines>
  <Paragraphs>24</Paragraphs>
  <TotalTime>8</TotalTime>
  <ScaleCrop>false</ScaleCrop>
  <LinksUpToDate>false</LinksUpToDate>
  <CharactersWithSpaces>10911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2016-09-02T00:45:00Z</dcterms:created>
  <dc:creator>赖凌祥</dc:creator>
  <cp:lastModifiedBy>青燕儿</cp:lastModifiedBy>
  <cp:lastPrinted>2019-11-19T12:09:00Z</cp:lastPrinted>
  <dcterms:modified xsi:type="dcterms:W3CDTF">2024-06-17T08:55:38Z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4DBCBCA1BB7E4477AFAD2E18C55738A6_13</vt:lpwstr>
  </property>
</Properties>
</file>